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0EC" w:rsidRPr="008364FA" w:rsidRDefault="002C00EC" w:rsidP="002C00EC">
      <w:pPr>
        <w:spacing w:after="0"/>
        <w:jc w:val="center"/>
        <w:rPr>
          <w:b/>
          <w:sz w:val="32"/>
          <w:szCs w:val="32"/>
        </w:rPr>
      </w:pPr>
      <w:r w:rsidRPr="008364FA">
        <w:rPr>
          <w:b/>
          <w:sz w:val="32"/>
          <w:szCs w:val="32"/>
        </w:rPr>
        <w:t>WACO METRO AREA ECONOMIC OUTLOOK FOR 201</w:t>
      </w:r>
      <w:r>
        <w:rPr>
          <w:b/>
          <w:sz w:val="32"/>
          <w:szCs w:val="32"/>
        </w:rPr>
        <w:t>8</w:t>
      </w:r>
    </w:p>
    <w:p w:rsidR="002C00EC" w:rsidRPr="007C19B3" w:rsidRDefault="002C00EC" w:rsidP="002C00EC">
      <w:pPr>
        <w:spacing w:after="0" w:line="240" w:lineRule="auto"/>
        <w:jc w:val="center"/>
        <w:rPr>
          <w:sz w:val="24"/>
          <w:szCs w:val="24"/>
        </w:rPr>
      </w:pPr>
      <w:r w:rsidRPr="007C19B3">
        <w:rPr>
          <w:sz w:val="24"/>
          <w:szCs w:val="24"/>
        </w:rPr>
        <w:t>by</w:t>
      </w:r>
    </w:p>
    <w:p w:rsidR="002C00EC" w:rsidRPr="007C19B3" w:rsidRDefault="002C00EC" w:rsidP="002C00EC">
      <w:pPr>
        <w:spacing w:after="0" w:line="240" w:lineRule="auto"/>
        <w:jc w:val="center"/>
        <w:rPr>
          <w:sz w:val="24"/>
          <w:szCs w:val="24"/>
        </w:rPr>
      </w:pPr>
      <w:r w:rsidRPr="007C19B3">
        <w:rPr>
          <w:sz w:val="24"/>
          <w:szCs w:val="24"/>
        </w:rPr>
        <w:t>Tom Kelly, Director</w:t>
      </w:r>
    </w:p>
    <w:p w:rsidR="002C00EC" w:rsidRPr="007C19B3" w:rsidRDefault="002C00EC" w:rsidP="002C00EC">
      <w:pPr>
        <w:spacing w:after="0" w:line="240" w:lineRule="auto"/>
        <w:jc w:val="center"/>
        <w:rPr>
          <w:sz w:val="24"/>
          <w:szCs w:val="24"/>
        </w:rPr>
      </w:pPr>
      <w:r w:rsidRPr="007C19B3">
        <w:rPr>
          <w:sz w:val="24"/>
          <w:szCs w:val="24"/>
        </w:rPr>
        <w:t>Baylor Center for Business and Economic Research</w:t>
      </w:r>
    </w:p>
    <w:p w:rsidR="00FF76C7" w:rsidRDefault="00FF76C7" w:rsidP="00FF76C7">
      <w:pPr>
        <w:spacing w:after="0" w:line="300" w:lineRule="auto"/>
        <w:ind w:right="-86" w:firstLine="720"/>
        <w:rPr>
          <w:rFonts w:ascii="Tahoma" w:hAnsi="Tahoma" w:cs="Tahoma"/>
          <w:noProof/>
        </w:rPr>
      </w:pPr>
    </w:p>
    <w:p w:rsidR="00FF76C7" w:rsidRDefault="00FF76C7" w:rsidP="00FF76C7">
      <w:pPr>
        <w:spacing w:after="0" w:line="300" w:lineRule="auto"/>
        <w:ind w:right="-86" w:firstLine="720"/>
        <w:rPr>
          <w:rFonts w:cs="Tahoma"/>
          <w:noProof/>
          <w:sz w:val="24"/>
          <w:szCs w:val="24"/>
        </w:rPr>
        <w:sectPr w:rsidR="00FF76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062988" w:rsidRDefault="00FF76C7" w:rsidP="00062988">
      <w:pPr>
        <w:spacing w:after="0" w:line="300" w:lineRule="auto"/>
        <w:ind w:firstLine="720"/>
        <w:rPr>
          <w:rFonts w:cs="Tahoma"/>
          <w:noProof/>
          <w:sz w:val="24"/>
          <w:szCs w:val="24"/>
        </w:rPr>
      </w:pPr>
      <w:r w:rsidRPr="007C19B3">
        <w:rPr>
          <w:rFonts w:cs="Tahoma"/>
          <w:noProof/>
          <w:sz w:val="24"/>
          <w:szCs w:val="24"/>
        </w:rPr>
        <w:t xml:space="preserve">The Waco metro area </w:t>
      </w:r>
      <w:r w:rsidR="008C78D8" w:rsidRPr="007C19B3">
        <w:rPr>
          <w:rFonts w:cs="Tahoma"/>
          <w:noProof/>
          <w:sz w:val="24"/>
          <w:szCs w:val="24"/>
        </w:rPr>
        <w:t>economy</w:t>
      </w:r>
      <w:r w:rsidR="00D736D3">
        <w:rPr>
          <w:rFonts w:cs="Tahoma"/>
          <w:noProof/>
          <w:sz w:val="24"/>
          <w:szCs w:val="24"/>
        </w:rPr>
        <w:t xml:space="preserve"> </w:t>
      </w:r>
      <w:r w:rsidRPr="007C19B3">
        <w:rPr>
          <w:rFonts w:cs="Tahoma"/>
          <w:noProof/>
          <w:sz w:val="24"/>
          <w:szCs w:val="24"/>
        </w:rPr>
        <w:t>generated continuous annual growth</w:t>
      </w:r>
      <w:r w:rsidR="008C78D8" w:rsidRPr="007C19B3">
        <w:rPr>
          <w:rFonts w:cs="Tahoma"/>
          <w:noProof/>
          <w:sz w:val="24"/>
          <w:szCs w:val="24"/>
        </w:rPr>
        <w:t xml:space="preserve"> in employment</w:t>
      </w:r>
      <w:r w:rsidRPr="007C19B3">
        <w:rPr>
          <w:rFonts w:cs="Tahoma"/>
          <w:noProof/>
          <w:sz w:val="24"/>
          <w:szCs w:val="24"/>
        </w:rPr>
        <w:t xml:space="preserve"> over the 60-month period </w:t>
      </w:r>
      <w:r w:rsidR="0054470B" w:rsidRPr="007C19B3">
        <w:rPr>
          <w:rFonts w:cs="Tahoma"/>
          <w:noProof/>
          <w:sz w:val="24"/>
          <w:szCs w:val="24"/>
        </w:rPr>
        <w:t xml:space="preserve">ending in </w:t>
      </w:r>
      <w:r w:rsidR="00065EBA">
        <w:rPr>
          <w:rFonts w:cs="Tahoma"/>
          <w:noProof/>
          <w:sz w:val="24"/>
          <w:szCs w:val="24"/>
        </w:rPr>
        <w:t>modest growth in June and July, followed by negative growth over the months of August</w:t>
      </w:r>
      <w:r w:rsidR="00314B1C" w:rsidRPr="007C19B3">
        <w:rPr>
          <w:rFonts w:cs="Tahoma"/>
          <w:noProof/>
          <w:sz w:val="24"/>
          <w:szCs w:val="24"/>
        </w:rPr>
        <w:t xml:space="preserve"> </w:t>
      </w:r>
      <w:r w:rsidR="00065EBA">
        <w:rPr>
          <w:rFonts w:cs="Tahoma"/>
          <w:noProof/>
          <w:sz w:val="24"/>
          <w:szCs w:val="24"/>
        </w:rPr>
        <w:t>through October</w:t>
      </w:r>
      <w:r w:rsidR="009646B1" w:rsidRPr="007C19B3">
        <w:rPr>
          <w:rFonts w:cs="Tahoma"/>
          <w:noProof/>
          <w:sz w:val="24"/>
          <w:szCs w:val="24"/>
        </w:rPr>
        <w:t xml:space="preserve">. </w:t>
      </w:r>
      <w:r w:rsidR="00314B1C" w:rsidRPr="007C19B3">
        <w:rPr>
          <w:rFonts w:cs="Tahoma"/>
          <w:noProof/>
          <w:sz w:val="24"/>
          <w:szCs w:val="24"/>
        </w:rPr>
        <w:t xml:space="preserve"> </w:t>
      </w:r>
      <w:r w:rsidR="00F94CE8" w:rsidRPr="007C19B3">
        <w:rPr>
          <w:rFonts w:cs="Tahoma"/>
          <w:noProof/>
          <w:sz w:val="24"/>
          <w:szCs w:val="24"/>
        </w:rPr>
        <w:t xml:space="preserve">As the </w:t>
      </w:r>
      <w:r w:rsidR="009646B1" w:rsidRPr="007C19B3">
        <w:rPr>
          <w:rFonts w:cs="Tahoma"/>
          <w:noProof/>
          <w:sz w:val="24"/>
          <w:szCs w:val="24"/>
        </w:rPr>
        <w:t>Waco MSA</w:t>
      </w:r>
      <w:r w:rsidR="00314B1C" w:rsidRPr="007C19B3">
        <w:rPr>
          <w:rFonts w:cs="Tahoma"/>
          <w:noProof/>
          <w:sz w:val="24"/>
          <w:szCs w:val="24"/>
        </w:rPr>
        <w:t xml:space="preserve"> labor market </w:t>
      </w:r>
      <w:r w:rsidR="00F94CE8" w:rsidRPr="007C19B3">
        <w:rPr>
          <w:rFonts w:cs="Tahoma"/>
          <w:noProof/>
          <w:sz w:val="24"/>
          <w:szCs w:val="24"/>
        </w:rPr>
        <w:t xml:space="preserve">approached </w:t>
      </w:r>
      <w:r w:rsidR="00314B1C" w:rsidRPr="007C19B3">
        <w:rPr>
          <w:rFonts w:cs="Tahoma"/>
          <w:noProof/>
          <w:sz w:val="24"/>
          <w:szCs w:val="24"/>
        </w:rPr>
        <w:t>full employment</w:t>
      </w:r>
      <w:r w:rsidR="007674BE" w:rsidRPr="007C19B3">
        <w:rPr>
          <w:rFonts w:cs="Tahoma"/>
          <w:noProof/>
          <w:sz w:val="24"/>
          <w:szCs w:val="24"/>
        </w:rPr>
        <w:t xml:space="preserve"> it </w:t>
      </w:r>
      <w:r w:rsidR="00F94CE8" w:rsidRPr="007C19B3">
        <w:rPr>
          <w:rFonts w:cs="Tahoma"/>
          <w:noProof/>
          <w:sz w:val="24"/>
          <w:szCs w:val="24"/>
        </w:rPr>
        <w:t>has been</w:t>
      </w:r>
      <w:r w:rsidR="007674BE" w:rsidRPr="007C19B3">
        <w:rPr>
          <w:rFonts w:cs="Tahoma"/>
          <w:noProof/>
          <w:sz w:val="24"/>
          <w:szCs w:val="24"/>
        </w:rPr>
        <w:t xml:space="preserve"> </w:t>
      </w:r>
      <w:r w:rsidR="009646B1" w:rsidRPr="007C19B3">
        <w:rPr>
          <w:rFonts w:cs="Tahoma"/>
          <w:noProof/>
          <w:sz w:val="24"/>
          <w:szCs w:val="24"/>
        </w:rPr>
        <w:t xml:space="preserve">increasingly </w:t>
      </w:r>
      <w:r w:rsidRPr="007C19B3">
        <w:rPr>
          <w:rFonts w:cs="Tahoma"/>
          <w:noProof/>
          <w:sz w:val="24"/>
          <w:szCs w:val="24"/>
        </w:rPr>
        <w:t>difficult to maintain the pace of</w:t>
      </w:r>
      <w:r w:rsidR="00724789" w:rsidRPr="007C19B3">
        <w:rPr>
          <w:rFonts w:cs="Tahoma"/>
          <w:noProof/>
          <w:sz w:val="24"/>
          <w:szCs w:val="24"/>
        </w:rPr>
        <w:t xml:space="preserve"> job</w:t>
      </w:r>
      <w:r w:rsidRPr="007C19B3">
        <w:rPr>
          <w:rFonts w:cs="Tahoma"/>
          <w:noProof/>
          <w:sz w:val="24"/>
          <w:szCs w:val="24"/>
        </w:rPr>
        <w:t xml:space="preserve"> growth</w:t>
      </w:r>
      <w:r w:rsidR="007674BE" w:rsidRPr="007C19B3">
        <w:rPr>
          <w:rFonts w:cs="Tahoma"/>
          <w:noProof/>
          <w:sz w:val="24"/>
          <w:szCs w:val="24"/>
        </w:rPr>
        <w:t xml:space="preserve"> that was achieved</w:t>
      </w:r>
      <w:r w:rsidRPr="007C19B3">
        <w:rPr>
          <w:rFonts w:cs="Tahoma"/>
          <w:noProof/>
          <w:sz w:val="24"/>
          <w:szCs w:val="24"/>
        </w:rPr>
        <w:t xml:space="preserve"> </w:t>
      </w:r>
      <w:r w:rsidR="00F94CE8" w:rsidRPr="007C19B3">
        <w:rPr>
          <w:rFonts w:cs="Tahoma"/>
          <w:noProof/>
          <w:sz w:val="24"/>
          <w:szCs w:val="24"/>
        </w:rPr>
        <w:t xml:space="preserve">during the previous year.  </w:t>
      </w:r>
      <w:r w:rsidR="007674BE" w:rsidRPr="007C19B3">
        <w:rPr>
          <w:rFonts w:cs="Tahoma"/>
          <w:noProof/>
          <w:sz w:val="24"/>
          <w:szCs w:val="24"/>
        </w:rPr>
        <w:t xml:space="preserve">Nevertheless, </w:t>
      </w:r>
      <w:r w:rsidR="00F94CE8" w:rsidRPr="007C19B3">
        <w:rPr>
          <w:rFonts w:cs="Tahoma"/>
          <w:noProof/>
          <w:sz w:val="24"/>
          <w:szCs w:val="24"/>
        </w:rPr>
        <w:t>the</w:t>
      </w:r>
      <w:r w:rsidR="007674BE" w:rsidRPr="007C19B3">
        <w:rPr>
          <w:rFonts w:cs="Tahoma"/>
          <w:noProof/>
          <w:sz w:val="24"/>
          <w:szCs w:val="24"/>
        </w:rPr>
        <w:t xml:space="preserve"> Waco </w:t>
      </w:r>
      <w:r w:rsidR="00F94CE8" w:rsidRPr="007C19B3">
        <w:rPr>
          <w:rFonts w:cs="Tahoma"/>
          <w:noProof/>
          <w:sz w:val="24"/>
          <w:szCs w:val="24"/>
        </w:rPr>
        <w:t>metro area</w:t>
      </w:r>
      <w:r w:rsidR="007674BE" w:rsidRPr="007C19B3">
        <w:rPr>
          <w:rFonts w:cs="Tahoma"/>
          <w:noProof/>
          <w:sz w:val="24"/>
          <w:szCs w:val="24"/>
        </w:rPr>
        <w:t xml:space="preserve"> continue</w:t>
      </w:r>
      <w:r w:rsidR="00F94CE8" w:rsidRPr="007C19B3">
        <w:rPr>
          <w:rFonts w:cs="Tahoma"/>
          <w:noProof/>
          <w:sz w:val="24"/>
          <w:szCs w:val="24"/>
        </w:rPr>
        <w:t>s</w:t>
      </w:r>
      <w:r w:rsidR="007674BE" w:rsidRPr="007C19B3">
        <w:rPr>
          <w:rFonts w:cs="Tahoma"/>
          <w:noProof/>
          <w:sz w:val="24"/>
          <w:szCs w:val="24"/>
        </w:rPr>
        <w:t xml:space="preserve"> to benefit from </w:t>
      </w:r>
      <w:r w:rsidR="008C78D8" w:rsidRPr="007C19B3">
        <w:rPr>
          <w:rFonts w:cs="Tahoma"/>
          <w:noProof/>
          <w:sz w:val="24"/>
          <w:szCs w:val="24"/>
        </w:rPr>
        <w:t xml:space="preserve">its growing </w:t>
      </w:r>
      <w:r w:rsidR="007674BE" w:rsidRPr="007C19B3">
        <w:rPr>
          <w:rFonts w:cs="Tahoma"/>
          <w:noProof/>
          <w:sz w:val="24"/>
          <w:szCs w:val="24"/>
        </w:rPr>
        <w:t xml:space="preserve">recognition as a </w:t>
      </w:r>
      <w:r w:rsidR="00895D7C" w:rsidRPr="007C19B3">
        <w:rPr>
          <w:rFonts w:cs="Tahoma"/>
          <w:noProof/>
          <w:sz w:val="24"/>
          <w:szCs w:val="24"/>
        </w:rPr>
        <w:t xml:space="preserve">favorable </w:t>
      </w:r>
      <w:r w:rsidR="007674BE" w:rsidRPr="007C19B3">
        <w:rPr>
          <w:rFonts w:cs="Tahoma"/>
          <w:noProof/>
          <w:sz w:val="24"/>
          <w:szCs w:val="24"/>
        </w:rPr>
        <w:t>location for</w:t>
      </w:r>
      <w:r w:rsidR="00F94CE8" w:rsidRPr="007C19B3">
        <w:rPr>
          <w:rFonts w:cs="Tahoma"/>
          <w:noProof/>
          <w:sz w:val="24"/>
          <w:szCs w:val="24"/>
        </w:rPr>
        <w:t xml:space="preserve"> both</w:t>
      </w:r>
      <w:r w:rsidR="007674BE" w:rsidRPr="007C19B3">
        <w:rPr>
          <w:rFonts w:cs="Tahoma"/>
          <w:noProof/>
          <w:sz w:val="24"/>
          <w:szCs w:val="24"/>
        </w:rPr>
        <w:t xml:space="preserve"> existing businesses and new investments that </w:t>
      </w:r>
      <w:r w:rsidR="00D736D3">
        <w:rPr>
          <w:rFonts w:cs="Tahoma"/>
          <w:noProof/>
          <w:sz w:val="24"/>
          <w:szCs w:val="24"/>
        </w:rPr>
        <w:t xml:space="preserve">will </w:t>
      </w:r>
      <w:r w:rsidR="00895D7C" w:rsidRPr="007C19B3">
        <w:rPr>
          <w:rFonts w:cs="Tahoma"/>
          <w:noProof/>
          <w:sz w:val="24"/>
          <w:szCs w:val="24"/>
        </w:rPr>
        <w:t xml:space="preserve">continue to </w:t>
      </w:r>
      <w:r w:rsidR="00500E30" w:rsidRPr="007C19B3">
        <w:rPr>
          <w:rFonts w:cs="Tahoma"/>
          <w:noProof/>
          <w:sz w:val="24"/>
          <w:szCs w:val="24"/>
        </w:rPr>
        <w:t xml:space="preserve">support </w:t>
      </w:r>
      <w:r w:rsidR="0099185E">
        <w:rPr>
          <w:rFonts w:cs="Tahoma"/>
          <w:noProof/>
          <w:sz w:val="24"/>
          <w:szCs w:val="24"/>
        </w:rPr>
        <w:t>favorable future growth</w:t>
      </w:r>
      <w:r w:rsidR="009646B1" w:rsidRPr="007C19B3">
        <w:rPr>
          <w:rFonts w:cs="Tahoma"/>
          <w:noProof/>
          <w:sz w:val="24"/>
          <w:szCs w:val="24"/>
        </w:rPr>
        <w:t xml:space="preserve"> </w:t>
      </w:r>
      <w:r w:rsidR="0099185E">
        <w:rPr>
          <w:rFonts w:cs="Tahoma"/>
          <w:noProof/>
          <w:sz w:val="24"/>
          <w:szCs w:val="24"/>
        </w:rPr>
        <w:t>in</w:t>
      </w:r>
      <w:r w:rsidR="009646B1" w:rsidRPr="007C19B3">
        <w:rPr>
          <w:rFonts w:cs="Tahoma"/>
          <w:noProof/>
          <w:sz w:val="24"/>
          <w:szCs w:val="24"/>
        </w:rPr>
        <w:t xml:space="preserve"> output and employment</w:t>
      </w:r>
      <w:r w:rsidR="0099185E">
        <w:rPr>
          <w:rFonts w:cs="Tahoma"/>
          <w:noProof/>
          <w:sz w:val="24"/>
          <w:szCs w:val="24"/>
        </w:rPr>
        <w:t>.</w:t>
      </w:r>
    </w:p>
    <w:p w:rsidR="00062988" w:rsidRPr="00062988" w:rsidRDefault="00062988" w:rsidP="00062988">
      <w:pPr>
        <w:spacing w:after="0" w:line="300" w:lineRule="auto"/>
        <w:ind w:firstLine="720"/>
        <w:rPr>
          <w:rFonts w:cs="Tahoma"/>
          <w:noProof/>
          <w:sz w:val="16"/>
          <w:szCs w:val="16"/>
        </w:rPr>
      </w:pPr>
    </w:p>
    <w:p w:rsidR="00062988" w:rsidRPr="00062988" w:rsidRDefault="00062988" w:rsidP="00062988">
      <w:pPr>
        <w:spacing w:after="0" w:line="240" w:lineRule="auto"/>
        <w:jc w:val="center"/>
        <w:rPr>
          <w:b/>
        </w:rPr>
      </w:pPr>
      <w:r w:rsidRPr="00062988">
        <w:rPr>
          <w:b/>
          <w:noProof/>
        </w:rPr>
        <w:t xml:space="preserve"> </w:t>
      </w:r>
      <w:r w:rsidRPr="00062988">
        <w:rPr>
          <w:b/>
        </w:rPr>
        <w:t>Figure 1</w:t>
      </w:r>
    </w:p>
    <w:p w:rsidR="00062988" w:rsidRDefault="00062988" w:rsidP="00062988">
      <w:pPr>
        <w:spacing w:after="0" w:line="240" w:lineRule="auto"/>
        <w:jc w:val="center"/>
        <w:rPr>
          <w:b/>
        </w:rPr>
      </w:pPr>
      <w:r w:rsidRPr="00062988">
        <w:rPr>
          <w:b/>
        </w:rPr>
        <w:t>Annual Percent Change in Waco MSA Nonagricultural Employment</w:t>
      </w:r>
    </w:p>
    <w:p w:rsidR="00062988" w:rsidRPr="00062988" w:rsidRDefault="00062988" w:rsidP="00062988">
      <w:pPr>
        <w:spacing w:after="0" w:line="240" w:lineRule="auto"/>
        <w:jc w:val="center"/>
        <w:rPr>
          <w:b/>
          <w:sz w:val="16"/>
          <w:szCs w:val="16"/>
        </w:rPr>
      </w:pPr>
    </w:p>
    <w:p w:rsidR="00724789" w:rsidRDefault="00760289" w:rsidP="00062988">
      <w:pPr>
        <w:spacing w:after="0" w:line="300" w:lineRule="auto"/>
        <w:rPr>
          <w:rFonts w:cs="Tahoma"/>
          <w:noProof/>
          <w:sz w:val="24"/>
          <w:szCs w:val="24"/>
        </w:rPr>
      </w:pPr>
      <w:r>
        <w:rPr>
          <w:noProof/>
        </w:rPr>
        <w:drawing>
          <wp:inline distT="0" distB="0" distL="0" distR="0" wp14:anchorId="53748A44" wp14:editId="38E92FD7">
            <wp:extent cx="5867400" cy="2990850"/>
            <wp:effectExtent l="0" t="0" r="0" b="0"/>
            <wp:docPr id="14" name="Chart 14">
              <a:extLst xmlns:a="http://schemas.openxmlformats.org/drawingml/2006/main">
                <a:ext uri="{FF2B5EF4-FFF2-40B4-BE49-F238E27FC236}">
                  <a16:creationId xmlns:a16="http://schemas.microsoft.com/office/drawing/2014/main" id="{71965C3B-BDB4-4072-90D8-F399F76299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24789" w:rsidRDefault="002767DA" w:rsidP="002767DA">
      <w:pPr>
        <w:spacing w:after="0" w:line="300" w:lineRule="auto"/>
        <w:rPr>
          <w:rFonts w:cs="Tahoma"/>
          <w:noProof/>
          <w:sz w:val="20"/>
          <w:szCs w:val="20"/>
        </w:rPr>
      </w:pPr>
      <w:r w:rsidRPr="002767DA">
        <w:rPr>
          <w:rFonts w:cs="Tahoma"/>
          <w:noProof/>
          <w:sz w:val="20"/>
          <w:szCs w:val="20"/>
        </w:rPr>
        <w:t>Source:  U.S. Bureau of Labor Statistics</w:t>
      </w:r>
    </w:p>
    <w:p w:rsidR="002767DA" w:rsidRPr="002767DA" w:rsidRDefault="002767DA" w:rsidP="002767DA">
      <w:pPr>
        <w:spacing w:after="0" w:line="300" w:lineRule="auto"/>
        <w:rPr>
          <w:rFonts w:cs="Tahoma"/>
          <w:noProof/>
          <w:sz w:val="20"/>
          <w:szCs w:val="20"/>
        </w:rPr>
      </w:pPr>
    </w:p>
    <w:p w:rsidR="00724789" w:rsidRDefault="008C78D8" w:rsidP="00724789">
      <w:pPr>
        <w:spacing w:after="0" w:line="300" w:lineRule="auto"/>
        <w:ind w:firstLine="720"/>
        <w:rPr>
          <w:rFonts w:eastAsia="Times New Roman" w:cs="Tahoma"/>
          <w:color w:val="333333"/>
          <w:sz w:val="24"/>
          <w:szCs w:val="24"/>
        </w:rPr>
      </w:pPr>
      <w:r w:rsidRPr="007C19B3">
        <w:rPr>
          <w:rFonts w:eastAsia="Times New Roman" w:cs="Tahoma"/>
          <w:color w:val="333333"/>
          <w:sz w:val="24"/>
          <w:szCs w:val="24"/>
        </w:rPr>
        <w:t>Annual</w:t>
      </w:r>
      <w:r w:rsidR="00895D7C" w:rsidRPr="007C19B3">
        <w:rPr>
          <w:rFonts w:eastAsia="Times New Roman" w:cs="Tahoma"/>
          <w:color w:val="333333"/>
          <w:sz w:val="24"/>
          <w:szCs w:val="24"/>
        </w:rPr>
        <w:t xml:space="preserve"> </w:t>
      </w:r>
      <w:r w:rsidRPr="007C19B3">
        <w:rPr>
          <w:rFonts w:eastAsia="Times New Roman" w:cs="Tahoma"/>
          <w:color w:val="333333"/>
          <w:sz w:val="24"/>
          <w:szCs w:val="24"/>
        </w:rPr>
        <w:t>GDP growth</w:t>
      </w:r>
      <w:r w:rsidR="00895D7C" w:rsidRPr="007C19B3">
        <w:rPr>
          <w:rFonts w:eastAsia="Times New Roman" w:cs="Tahoma"/>
          <w:color w:val="333333"/>
          <w:sz w:val="24"/>
          <w:szCs w:val="24"/>
        </w:rPr>
        <w:t xml:space="preserve"> </w:t>
      </w:r>
      <w:r w:rsidR="009646B1" w:rsidRPr="007C19B3">
        <w:rPr>
          <w:rFonts w:eastAsia="Times New Roman" w:cs="Tahoma"/>
          <w:color w:val="333333"/>
          <w:sz w:val="24"/>
          <w:szCs w:val="24"/>
        </w:rPr>
        <w:t xml:space="preserve">produced </w:t>
      </w:r>
      <w:r w:rsidR="00895D7C" w:rsidRPr="007C19B3">
        <w:rPr>
          <w:rFonts w:eastAsia="Times New Roman" w:cs="Tahoma"/>
          <w:color w:val="333333"/>
          <w:sz w:val="24"/>
          <w:szCs w:val="24"/>
        </w:rPr>
        <w:t>by</w:t>
      </w:r>
      <w:r w:rsidR="009646B1" w:rsidRPr="007C19B3">
        <w:rPr>
          <w:rFonts w:eastAsia="Times New Roman" w:cs="Tahoma"/>
          <w:color w:val="333333"/>
          <w:sz w:val="24"/>
          <w:szCs w:val="24"/>
        </w:rPr>
        <w:t xml:space="preserve"> all </w:t>
      </w:r>
      <w:r w:rsidR="00895D7C" w:rsidRPr="007C19B3">
        <w:rPr>
          <w:rFonts w:eastAsia="Times New Roman" w:cs="Tahoma"/>
          <w:color w:val="333333"/>
          <w:sz w:val="24"/>
          <w:szCs w:val="24"/>
        </w:rPr>
        <w:t xml:space="preserve">U.S. </w:t>
      </w:r>
      <w:r w:rsidR="009646B1" w:rsidRPr="007C19B3">
        <w:rPr>
          <w:rFonts w:eastAsia="Times New Roman" w:cs="Tahoma"/>
          <w:color w:val="333333"/>
          <w:sz w:val="24"/>
          <w:szCs w:val="24"/>
        </w:rPr>
        <w:t xml:space="preserve">Metro Areas and </w:t>
      </w:r>
      <w:r w:rsidRPr="007C19B3">
        <w:rPr>
          <w:rFonts w:eastAsia="Times New Roman" w:cs="Tahoma"/>
          <w:color w:val="333333"/>
          <w:sz w:val="24"/>
          <w:szCs w:val="24"/>
        </w:rPr>
        <w:t xml:space="preserve">by </w:t>
      </w:r>
      <w:r w:rsidR="00895D7C" w:rsidRPr="007C19B3">
        <w:rPr>
          <w:rFonts w:eastAsia="Times New Roman" w:cs="Tahoma"/>
          <w:color w:val="333333"/>
          <w:sz w:val="24"/>
          <w:szCs w:val="24"/>
        </w:rPr>
        <w:t xml:space="preserve">the twenty-five </w:t>
      </w:r>
      <w:r w:rsidRPr="007C19B3">
        <w:rPr>
          <w:rFonts w:eastAsia="Times New Roman" w:cs="Tahoma"/>
          <w:color w:val="333333"/>
          <w:sz w:val="24"/>
          <w:szCs w:val="24"/>
        </w:rPr>
        <w:t>Texas Metro Areas</w:t>
      </w:r>
      <w:r w:rsidR="00895D7C" w:rsidRPr="007C19B3">
        <w:rPr>
          <w:rFonts w:eastAsia="Times New Roman" w:cs="Tahoma"/>
          <w:color w:val="333333"/>
          <w:sz w:val="24"/>
          <w:szCs w:val="24"/>
        </w:rPr>
        <w:t xml:space="preserve"> </w:t>
      </w:r>
      <w:r w:rsidR="00990DC8">
        <w:rPr>
          <w:rFonts w:eastAsia="Times New Roman" w:cs="Tahoma"/>
          <w:color w:val="333333"/>
          <w:sz w:val="24"/>
          <w:szCs w:val="24"/>
        </w:rPr>
        <w:t xml:space="preserve">in 2016 that were recently released by </w:t>
      </w:r>
      <w:r w:rsidR="00990DC8" w:rsidRPr="007C19B3">
        <w:rPr>
          <w:rFonts w:eastAsia="Times New Roman" w:cs="Tahoma"/>
          <w:color w:val="333333"/>
          <w:sz w:val="24"/>
          <w:szCs w:val="24"/>
        </w:rPr>
        <w:t>the U.S. Department of Commerce</w:t>
      </w:r>
      <w:r w:rsidR="00990DC8">
        <w:rPr>
          <w:rFonts w:eastAsia="Times New Roman" w:cs="Tahoma"/>
          <w:color w:val="333333"/>
          <w:sz w:val="24"/>
          <w:szCs w:val="24"/>
        </w:rPr>
        <w:t xml:space="preserve"> </w:t>
      </w:r>
      <w:r w:rsidR="00895D7C" w:rsidRPr="007C19B3">
        <w:rPr>
          <w:rFonts w:eastAsia="Times New Roman" w:cs="Tahoma"/>
          <w:color w:val="333333"/>
          <w:sz w:val="24"/>
          <w:szCs w:val="24"/>
        </w:rPr>
        <w:t>are shown in Table 1</w:t>
      </w:r>
      <w:r w:rsidR="00CD422E" w:rsidRPr="007C19B3">
        <w:rPr>
          <w:rFonts w:eastAsia="Times New Roman" w:cs="Tahoma"/>
          <w:color w:val="333333"/>
          <w:sz w:val="24"/>
          <w:szCs w:val="24"/>
        </w:rPr>
        <w:t>.</w:t>
      </w:r>
      <w:r w:rsidR="009646B1" w:rsidRPr="007C19B3">
        <w:rPr>
          <w:rFonts w:eastAsia="Times New Roman" w:cs="Tahoma"/>
          <w:color w:val="333333"/>
          <w:sz w:val="24"/>
          <w:szCs w:val="24"/>
        </w:rPr>
        <w:t xml:space="preserve"> </w:t>
      </w:r>
      <w:r w:rsidR="00CD422E" w:rsidRPr="007C19B3">
        <w:rPr>
          <w:rFonts w:eastAsia="Times New Roman" w:cs="Tahoma"/>
          <w:color w:val="333333"/>
          <w:sz w:val="24"/>
          <w:szCs w:val="24"/>
        </w:rPr>
        <w:t xml:space="preserve"> Specifically, a</w:t>
      </w:r>
      <w:r w:rsidR="009646B1" w:rsidRPr="007C19B3">
        <w:rPr>
          <w:rFonts w:eastAsia="Times New Roman" w:cs="Tahoma"/>
          <w:color w:val="333333"/>
          <w:sz w:val="24"/>
          <w:szCs w:val="24"/>
        </w:rPr>
        <w:t xml:space="preserve">nnual real GDP in 2009 dollars </w:t>
      </w:r>
      <w:r w:rsidR="00895D7C" w:rsidRPr="007C19B3">
        <w:rPr>
          <w:rFonts w:eastAsia="Times New Roman" w:cs="Tahoma"/>
          <w:color w:val="333333"/>
          <w:sz w:val="24"/>
          <w:szCs w:val="24"/>
        </w:rPr>
        <w:t xml:space="preserve">produced among Texas Metro Areas </w:t>
      </w:r>
      <w:r w:rsidR="009646B1" w:rsidRPr="007C19B3">
        <w:rPr>
          <w:rFonts w:eastAsia="Times New Roman" w:cs="Tahoma"/>
          <w:color w:val="333333"/>
          <w:sz w:val="24"/>
          <w:szCs w:val="24"/>
        </w:rPr>
        <w:t>compared for 2011, 2015, and 2016</w:t>
      </w:r>
      <w:r w:rsidR="00895D7C" w:rsidRPr="007C19B3">
        <w:rPr>
          <w:rFonts w:eastAsia="Times New Roman" w:cs="Tahoma"/>
          <w:color w:val="333333"/>
          <w:sz w:val="24"/>
          <w:szCs w:val="24"/>
        </w:rPr>
        <w:t xml:space="preserve"> </w:t>
      </w:r>
      <w:r w:rsidR="00990DC8">
        <w:rPr>
          <w:rFonts w:eastAsia="Times New Roman" w:cs="Tahoma"/>
          <w:color w:val="333333"/>
          <w:sz w:val="24"/>
          <w:szCs w:val="24"/>
        </w:rPr>
        <w:t xml:space="preserve">show that </w:t>
      </w:r>
      <w:r w:rsidR="009A0AD5">
        <w:rPr>
          <w:rFonts w:eastAsia="Times New Roman" w:cs="Tahoma"/>
          <w:color w:val="333333"/>
          <w:sz w:val="24"/>
          <w:szCs w:val="24"/>
        </w:rPr>
        <w:t>Waco’s 2016</w:t>
      </w:r>
      <w:r w:rsidR="00990DC8">
        <w:rPr>
          <w:rFonts w:eastAsia="Times New Roman" w:cs="Tahoma"/>
          <w:color w:val="333333"/>
          <w:sz w:val="24"/>
          <w:szCs w:val="24"/>
        </w:rPr>
        <w:t xml:space="preserve"> </w:t>
      </w:r>
      <w:r w:rsidR="009646B1" w:rsidRPr="007C19B3">
        <w:rPr>
          <w:rFonts w:eastAsia="Times New Roman" w:cs="Tahoma"/>
          <w:color w:val="333333"/>
          <w:sz w:val="24"/>
          <w:szCs w:val="24"/>
        </w:rPr>
        <w:t xml:space="preserve">annual rate of increase in </w:t>
      </w:r>
      <w:r w:rsidR="009646B1" w:rsidRPr="007C19B3">
        <w:rPr>
          <w:rFonts w:eastAsia="Times New Roman" w:cs="Tahoma"/>
          <w:color w:val="333333"/>
          <w:sz w:val="24"/>
          <w:szCs w:val="24"/>
        </w:rPr>
        <w:lastRenderedPageBreak/>
        <w:t xml:space="preserve">real GDP </w:t>
      </w:r>
      <w:r w:rsidR="00990DC8">
        <w:rPr>
          <w:rFonts w:eastAsia="Times New Roman" w:cs="Tahoma"/>
          <w:color w:val="333333"/>
          <w:sz w:val="24"/>
          <w:szCs w:val="24"/>
        </w:rPr>
        <w:t>of</w:t>
      </w:r>
      <w:r w:rsidR="00CD422E" w:rsidRPr="007C19B3">
        <w:rPr>
          <w:rFonts w:eastAsia="Times New Roman" w:cs="Tahoma"/>
          <w:color w:val="333333"/>
          <w:sz w:val="24"/>
          <w:szCs w:val="24"/>
        </w:rPr>
        <w:t xml:space="preserve"> </w:t>
      </w:r>
      <w:r w:rsidR="00AC6A9D">
        <w:rPr>
          <w:rFonts w:eastAsia="Times New Roman" w:cs="Tahoma"/>
          <w:color w:val="333333"/>
          <w:sz w:val="24"/>
          <w:szCs w:val="24"/>
        </w:rPr>
        <w:t>3.9%</w:t>
      </w:r>
      <w:r w:rsidR="009646B1" w:rsidRPr="007C19B3">
        <w:rPr>
          <w:rFonts w:eastAsia="Times New Roman" w:cs="Tahoma"/>
          <w:color w:val="333333"/>
          <w:sz w:val="24"/>
          <w:szCs w:val="24"/>
        </w:rPr>
        <w:t xml:space="preserve"> </w:t>
      </w:r>
      <w:r w:rsidR="00AC6A9D">
        <w:rPr>
          <w:rFonts w:eastAsia="Times New Roman" w:cs="Tahoma"/>
          <w:color w:val="333333"/>
          <w:sz w:val="24"/>
          <w:szCs w:val="24"/>
        </w:rPr>
        <w:t xml:space="preserve">more than doubled the </w:t>
      </w:r>
      <w:r w:rsidR="00990DC8">
        <w:rPr>
          <w:rFonts w:eastAsia="Times New Roman" w:cs="Tahoma"/>
          <w:color w:val="333333"/>
          <w:sz w:val="24"/>
          <w:szCs w:val="24"/>
        </w:rPr>
        <w:t xml:space="preserve">1.7% </w:t>
      </w:r>
      <w:r w:rsidR="00AC6A9D">
        <w:rPr>
          <w:rFonts w:eastAsia="Times New Roman" w:cs="Tahoma"/>
          <w:color w:val="333333"/>
          <w:sz w:val="24"/>
          <w:szCs w:val="24"/>
        </w:rPr>
        <w:t xml:space="preserve">average annual growth rate of </w:t>
      </w:r>
      <w:r w:rsidR="00AA3D52">
        <w:rPr>
          <w:rFonts w:eastAsia="Times New Roman" w:cs="Tahoma"/>
          <w:color w:val="333333"/>
          <w:sz w:val="24"/>
          <w:szCs w:val="24"/>
        </w:rPr>
        <w:t>the 382 metro areas in the United States.</w:t>
      </w:r>
      <w:r w:rsidR="00AC6A9D">
        <w:rPr>
          <w:rFonts w:eastAsia="Times New Roman" w:cs="Tahoma"/>
          <w:color w:val="333333"/>
          <w:sz w:val="24"/>
          <w:szCs w:val="24"/>
        </w:rPr>
        <w:t xml:space="preserve"> </w:t>
      </w:r>
      <w:r w:rsidR="00CD422E" w:rsidRPr="007C19B3">
        <w:rPr>
          <w:rFonts w:eastAsia="Times New Roman" w:cs="Tahoma"/>
          <w:color w:val="333333"/>
          <w:sz w:val="24"/>
          <w:szCs w:val="24"/>
        </w:rPr>
        <w:t xml:space="preserve">  </w:t>
      </w:r>
      <w:r w:rsidR="00990DC8">
        <w:rPr>
          <w:rFonts w:eastAsia="Times New Roman" w:cs="Tahoma"/>
          <w:color w:val="333333"/>
          <w:sz w:val="24"/>
          <w:szCs w:val="24"/>
        </w:rPr>
        <w:t xml:space="preserve">Nearly all the Texas </w:t>
      </w:r>
      <w:r w:rsidR="00895D7C" w:rsidRPr="007C19B3">
        <w:rPr>
          <w:rFonts w:eastAsia="Times New Roman" w:cs="Tahoma"/>
          <w:color w:val="333333"/>
          <w:sz w:val="24"/>
          <w:szCs w:val="24"/>
        </w:rPr>
        <w:t xml:space="preserve">metro areas </w:t>
      </w:r>
      <w:r w:rsidR="00AA3D52">
        <w:rPr>
          <w:rFonts w:eastAsia="Times New Roman" w:cs="Tahoma"/>
          <w:color w:val="333333"/>
          <w:sz w:val="24"/>
          <w:szCs w:val="24"/>
        </w:rPr>
        <w:t xml:space="preserve">from 2011 through 2015 </w:t>
      </w:r>
      <w:r w:rsidR="00D736D3">
        <w:rPr>
          <w:rFonts w:eastAsia="Times New Roman" w:cs="Tahoma"/>
          <w:color w:val="333333"/>
          <w:sz w:val="24"/>
          <w:szCs w:val="24"/>
        </w:rPr>
        <w:t>experienced growth before declining</w:t>
      </w:r>
      <w:r w:rsidR="00990DC8">
        <w:rPr>
          <w:rFonts w:eastAsia="Times New Roman" w:cs="Tahoma"/>
          <w:color w:val="333333"/>
          <w:sz w:val="24"/>
          <w:szCs w:val="24"/>
        </w:rPr>
        <w:t xml:space="preserve"> energy prices</w:t>
      </w:r>
      <w:r w:rsidR="00D736D3">
        <w:rPr>
          <w:rFonts w:eastAsia="Times New Roman" w:cs="Tahoma"/>
          <w:color w:val="333333"/>
          <w:sz w:val="24"/>
          <w:szCs w:val="24"/>
        </w:rPr>
        <w:t xml:space="preserve"> in 2016</w:t>
      </w:r>
      <w:r w:rsidR="00990DC8">
        <w:rPr>
          <w:rFonts w:eastAsia="Times New Roman" w:cs="Tahoma"/>
          <w:color w:val="333333"/>
          <w:sz w:val="24"/>
          <w:szCs w:val="24"/>
        </w:rPr>
        <w:t xml:space="preserve"> </w:t>
      </w:r>
      <w:r w:rsidR="00AA3D52">
        <w:rPr>
          <w:rFonts w:eastAsia="Times New Roman" w:cs="Tahoma"/>
          <w:color w:val="333333"/>
          <w:sz w:val="24"/>
          <w:szCs w:val="24"/>
        </w:rPr>
        <w:t>substantially slowed real GDP</w:t>
      </w:r>
      <w:r w:rsidR="00D736D3">
        <w:rPr>
          <w:rFonts w:eastAsia="Times New Roman" w:cs="Tahoma"/>
          <w:color w:val="333333"/>
          <w:sz w:val="24"/>
          <w:szCs w:val="24"/>
        </w:rPr>
        <w:t xml:space="preserve"> growth</w:t>
      </w:r>
      <w:r w:rsidR="00AA3D52">
        <w:rPr>
          <w:rFonts w:eastAsia="Times New Roman" w:cs="Tahoma"/>
          <w:color w:val="333333"/>
          <w:sz w:val="24"/>
          <w:szCs w:val="24"/>
        </w:rPr>
        <w:t xml:space="preserve"> in energy intensive areas.</w:t>
      </w:r>
      <w:r w:rsidR="00990DC8">
        <w:rPr>
          <w:rFonts w:eastAsia="Times New Roman" w:cs="Tahoma"/>
          <w:color w:val="333333"/>
          <w:sz w:val="24"/>
          <w:szCs w:val="24"/>
        </w:rPr>
        <w:t xml:space="preserve">  </w:t>
      </w:r>
      <w:r w:rsidR="00D736D3">
        <w:rPr>
          <w:rFonts w:eastAsia="Times New Roman" w:cs="Tahoma"/>
          <w:color w:val="333333"/>
          <w:sz w:val="24"/>
          <w:szCs w:val="24"/>
        </w:rPr>
        <w:t>However, since Waco is</w:t>
      </w:r>
      <w:r w:rsidR="00990DC8">
        <w:rPr>
          <w:rFonts w:eastAsia="Times New Roman" w:cs="Tahoma"/>
          <w:color w:val="333333"/>
          <w:sz w:val="24"/>
          <w:szCs w:val="24"/>
        </w:rPr>
        <w:t xml:space="preserve"> an importer of energy resources Waco</w:t>
      </w:r>
      <w:r w:rsidR="00D8271E">
        <w:rPr>
          <w:rFonts w:eastAsia="Times New Roman" w:cs="Tahoma"/>
          <w:color w:val="333333"/>
          <w:sz w:val="24"/>
          <w:szCs w:val="24"/>
        </w:rPr>
        <w:t>’s economy</w:t>
      </w:r>
      <w:r w:rsidR="00D736D3">
        <w:rPr>
          <w:rFonts w:eastAsia="Times New Roman" w:cs="Tahoma"/>
          <w:color w:val="333333"/>
          <w:sz w:val="24"/>
          <w:szCs w:val="24"/>
        </w:rPr>
        <w:t xml:space="preserve"> has</w:t>
      </w:r>
      <w:r w:rsidR="00990DC8">
        <w:rPr>
          <w:rFonts w:eastAsia="Times New Roman" w:cs="Tahoma"/>
          <w:color w:val="333333"/>
          <w:sz w:val="24"/>
          <w:szCs w:val="24"/>
        </w:rPr>
        <w:t xml:space="preserve"> benefitted from lower energy prices.</w:t>
      </w:r>
      <w:r w:rsidR="00AA3D52">
        <w:rPr>
          <w:rFonts w:eastAsia="Times New Roman" w:cs="Tahoma"/>
          <w:color w:val="333333"/>
          <w:sz w:val="24"/>
          <w:szCs w:val="24"/>
        </w:rPr>
        <w:t xml:space="preserve">  </w:t>
      </w:r>
      <w:r w:rsidR="00F94CE8" w:rsidRPr="007C19B3">
        <w:rPr>
          <w:rFonts w:eastAsia="Times New Roman" w:cs="Tahoma"/>
          <w:color w:val="333333"/>
          <w:sz w:val="24"/>
          <w:szCs w:val="24"/>
        </w:rPr>
        <w:t xml:space="preserve"> </w:t>
      </w:r>
    </w:p>
    <w:p w:rsidR="00065EBA" w:rsidRPr="00065EBA" w:rsidRDefault="00065EBA" w:rsidP="00724789">
      <w:pPr>
        <w:spacing w:after="0" w:line="300" w:lineRule="auto"/>
        <w:ind w:firstLine="720"/>
        <w:rPr>
          <w:rFonts w:eastAsia="Times New Roman" w:cs="Tahoma"/>
          <w:color w:val="333333"/>
          <w:sz w:val="16"/>
          <w:szCs w:val="16"/>
        </w:rPr>
      </w:pPr>
    </w:p>
    <w:p w:rsidR="00724789" w:rsidRPr="00F611E7" w:rsidRDefault="00724789" w:rsidP="008C78D8">
      <w:pPr>
        <w:spacing w:after="0" w:line="240" w:lineRule="auto"/>
        <w:jc w:val="center"/>
        <w:rPr>
          <w:rFonts w:eastAsia="Times New Roman" w:cs="Tahoma"/>
          <w:b/>
          <w:color w:val="333333"/>
          <w:sz w:val="24"/>
          <w:szCs w:val="24"/>
        </w:rPr>
      </w:pPr>
      <w:r w:rsidRPr="00F611E7">
        <w:rPr>
          <w:rFonts w:eastAsia="Times New Roman" w:cs="Tahoma"/>
          <w:b/>
          <w:color w:val="333333"/>
          <w:sz w:val="24"/>
          <w:szCs w:val="24"/>
        </w:rPr>
        <w:t xml:space="preserve">Table </w:t>
      </w:r>
      <w:r w:rsidR="0020512B" w:rsidRPr="00F611E7">
        <w:rPr>
          <w:rFonts w:eastAsia="Times New Roman" w:cs="Tahoma"/>
          <w:b/>
          <w:color w:val="333333"/>
          <w:sz w:val="24"/>
          <w:szCs w:val="24"/>
        </w:rPr>
        <w:t>1</w:t>
      </w:r>
    </w:p>
    <w:p w:rsidR="00724789" w:rsidRPr="00F611E7" w:rsidRDefault="00724789" w:rsidP="002767DA">
      <w:pPr>
        <w:spacing w:after="0" w:line="240" w:lineRule="auto"/>
        <w:jc w:val="center"/>
        <w:rPr>
          <w:rFonts w:eastAsia="Times New Roman" w:cs="Tahoma"/>
          <w:b/>
          <w:color w:val="333333"/>
          <w:sz w:val="24"/>
          <w:szCs w:val="24"/>
        </w:rPr>
      </w:pPr>
      <w:r w:rsidRPr="00F611E7">
        <w:rPr>
          <w:rFonts w:eastAsia="Times New Roman" w:cs="Tahoma"/>
          <w:b/>
          <w:color w:val="333333"/>
          <w:sz w:val="24"/>
          <w:szCs w:val="24"/>
        </w:rPr>
        <w:t>U.S. and Texas Metro Area Real GDP and Average Annual Percent Change</w:t>
      </w:r>
    </w:p>
    <w:p w:rsidR="00AA3D52" w:rsidRPr="00F611E7" w:rsidRDefault="00AA3D52" w:rsidP="002767DA">
      <w:pPr>
        <w:spacing w:after="0" w:line="240" w:lineRule="auto"/>
        <w:jc w:val="center"/>
        <w:rPr>
          <w:rFonts w:eastAsia="Times New Roman" w:cs="Tahoma"/>
          <w:b/>
          <w:color w:val="333333"/>
          <w:sz w:val="16"/>
          <w:szCs w:val="16"/>
        </w:rPr>
      </w:pPr>
    </w:p>
    <w:tbl>
      <w:tblPr>
        <w:tblW w:w="9900" w:type="dxa"/>
        <w:tblInd w:w="-10" w:type="dxa"/>
        <w:tblLook w:val="04A0" w:firstRow="1" w:lastRow="0" w:firstColumn="1" w:lastColumn="0" w:noHBand="0" w:noVBand="1"/>
      </w:tblPr>
      <w:tblGrid>
        <w:gridCol w:w="3420"/>
        <w:gridCol w:w="1350"/>
        <w:gridCol w:w="1350"/>
        <w:gridCol w:w="1309"/>
        <w:gridCol w:w="1211"/>
        <w:gridCol w:w="1260"/>
      </w:tblGrid>
      <w:tr w:rsidR="00AC6A9D" w:rsidRPr="00AC6A9D" w:rsidTr="00AC6A9D">
        <w:trPr>
          <w:trHeight w:val="345"/>
        </w:trPr>
        <w:tc>
          <w:tcPr>
            <w:tcW w:w="3420" w:type="dxa"/>
            <w:tcBorders>
              <w:top w:val="single" w:sz="8" w:space="0" w:color="000000"/>
              <w:left w:val="single" w:sz="8" w:space="0" w:color="000000"/>
              <w:bottom w:val="nil"/>
              <w:right w:val="single" w:sz="12" w:space="0" w:color="000000"/>
            </w:tcBorders>
            <w:shd w:val="clear" w:color="auto" w:fill="auto"/>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 </w:t>
            </w:r>
          </w:p>
        </w:tc>
        <w:tc>
          <w:tcPr>
            <w:tcW w:w="1350" w:type="dxa"/>
            <w:tcBorders>
              <w:top w:val="single" w:sz="8" w:space="0" w:color="000000"/>
              <w:left w:val="nil"/>
              <w:bottom w:val="single" w:sz="8" w:space="0" w:color="000000"/>
              <w:right w:val="nil"/>
            </w:tcBorders>
            <w:shd w:val="clear" w:color="auto" w:fill="auto"/>
            <w:noWrap/>
            <w:vAlign w:val="center"/>
            <w:hideMark/>
          </w:tcPr>
          <w:p w:rsidR="00AC6A9D" w:rsidRPr="00AC6A9D" w:rsidRDefault="00AC6A9D" w:rsidP="00AC6A9D">
            <w:pPr>
              <w:spacing w:after="0" w:line="240" w:lineRule="auto"/>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 </w:t>
            </w:r>
          </w:p>
        </w:tc>
        <w:tc>
          <w:tcPr>
            <w:tcW w:w="1350" w:type="dxa"/>
            <w:tcBorders>
              <w:top w:val="single" w:sz="8" w:space="0" w:color="000000"/>
              <w:left w:val="nil"/>
              <w:bottom w:val="single" w:sz="8" w:space="0" w:color="000000"/>
              <w:right w:val="nil"/>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 xml:space="preserve">$Millions </w:t>
            </w:r>
          </w:p>
        </w:tc>
        <w:tc>
          <w:tcPr>
            <w:tcW w:w="1309" w:type="dxa"/>
            <w:tcBorders>
              <w:top w:val="single" w:sz="8" w:space="0" w:color="000000"/>
              <w:left w:val="nil"/>
              <w:bottom w:val="single" w:sz="8" w:space="0" w:color="000000"/>
              <w:right w:val="single" w:sz="12" w:space="0" w:color="000000"/>
            </w:tcBorders>
            <w:shd w:val="clear" w:color="auto" w:fill="auto"/>
            <w:noWrap/>
            <w:vAlign w:val="center"/>
            <w:hideMark/>
          </w:tcPr>
          <w:p w:rsidR="00AC6A9D" w:rsidRPr="00AC6A9D" w:rsidRDefault="00AC6A9D" w:rsidP="00AC6A9D">
            <w:pPr>
              <w:spacing w:after="0" w:line="240" w:lineRule="auto"/>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 </w:t>
            </w:r>
          </w:p>
        </w:tc>
        <w:tc>
          <w:tcPr>
            <w:tcW w:w="1211" w:type="dxa"/>
            <w:tcBorders>
              <w:top w:val="single" w:sz="8" w:space="0" w:color="000000"/>
              <w:left w:val="nil"/>
              <w:bottom w:val="single" w:sz="12" w:space="0" w:color="000000"/>
              <w:right w:val="nil"/>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 xml:space="preserve">Yearly </w:t>
            </w:r>
          </w:p>
        </w:tc>
        <w:tc>
          <w:tcPr>
            <w:tcW w:w="1260" w:type="dxa"/>
            <w:tcBorders>
              <w:top w:val="single" w:sz="8" w:space="0" w:color="000000"/>
              <w:left w:val="nil"/>
              <w:bottom w:val="single" w:sz="12" w:space="0" w:color="000000"/>
              <w:right w:val="single" w:sz="8" w:space="0" w:color="000000"/>
            </w:tcBorders>
            <w:shd w:val="clear" w:color="auto" w:fill="auto"/>
            <w:noWrap/>
            <w:vAlign w:val="center"/>
            <w:hideMark/>
          </w:tcPr>
          <w:p w:rsidR="00AC6A9D" w:rsidRPr="00AC6A9D" w:rsidRDefault="00AC6A9D" w:rsidP="00AC6A9D">
            <w:pPr>
              <w:spacing w:after="0" w:line="240" w:lineRule="auto"/>
              <w:jc w:val="both"/>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 Chg.</w:t>
            </w:r>
          </w:p>
        </w:tc>
      </w:tr>
      <w:tr w:rsidR="00AC6A9D" w:rsidRPr="00AC6A9D" w:rsidTr="00AC6A9D">
        <w:trPr>
          <w:trHeight w:val="345"/>
        </w:trPr>
        <w:tc>
          <w:tcPr>
            <w:tcW w:w="3420" w:type="dxa"/>
            <w:tcBorders>
              <w:top w:val="nil"/>
              <w:left w:val="single" w:sz="8" w:space="0" w:color="000000"/>
              <w:bottom w:val="single" w:sz="8" w:space="0" w:color="000000"/>
              <w:right w:val="single" w:sz="12" w:space="0" w:color="000000"/>
            </w:tcBorders>
            <w:shd w:val="clear" w:color="auto" w:fill="auto"/>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 </w:t>
            </w:r>
          </w:p>
        </w:tc>
        <w:tc>
          <w:tcPr>
            <w:tcW w:w="1350" w:type="dxa"/>
            <w:tcBorders>
              <w:top w:val="nil"/>
              <w:left w:val="nil"/>
              <w:bottom w:val="nil"/>
              <w:right w:val="single" w:sz="8" w:space="0" w:color="000000"/>
            </w:tcBorders>
            <w:shd w:val="clear" w:color="auto" w:fill="auto"/>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2011</w:t>
            </w:r>
          </w:p>
        </w:tc>
        <w:tc>
          <w:tcPr>
            <w:tcW w:w="1350" w:type="dxa"/>
            <w:tcBorders>
              <w:top w:val="nil"/>
              <w:left w:val="nil"/>
              <w:bottom w:val="nil"/>
              <w:right w:val="single" w:sz="8" w:space="0" w:color="000000"/>
            </w:tcBorders>
            <w:shd w:val="clear" w:color="auto" w:fill="auto"/>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2015</w:t>
            </w:r>
          </w:p>
        </w:tc>
        <w:tc>
          <w:tcPr>
            <w:tcW w:w="1309" w:type="dxa"/>
            <w:tcBorders>
              <w:top w:val="nil"/>
              <w:left w:val="nil"/>
              <w:bottom w:val="nil"/>
              <w:right w:val="nil"/>
            </w:tcBorders>
            <w:shd w:val="clear" w:color="auto" w:fill="auto"/>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2016</w:t>
            </w:r>
          </w:p>
        </w:tc>
        <w:tc>
          <w:tcPr>
            <w:tcW w:w="1211" w:type="dxa"/>
            <w:tcBorders>
              <w:top w:val="nil"/>
              <w:left w:val="single" w:sz="12" w:space="0" w:color="000000"/>
              <w:bottom w:val="nil"/>
              <w:right w:val="single" w:sz="12"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2011-15</w:t>
            </w:r>
          </w:p>
        </w:tc>
        <w:tc>
          <w:tcPr>
            <w:tcW w:w="1260" w:type="dxa"/>
            <w:tcBorders>
              <w:top w:val="nil"/>
              <w:left w:val="nil"/>
              <w:bottom w:val="nil"/>
              <w:right w:val="single" w:sz="8"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2015-16</w:t>
            </w:r>
          </w:p>
        </w:tc>
      </w:tr>
      <w:tr w:rsidR="00AC6A9D" w:rsidRPr="00AC6A9D" w:rsidTr="00AC6A9D">
        <w:trPr>
          <w:trHeight w:val="345"/>
        </w:trPr>
        <w:tc>
          <w:tcPr>
            <w:tcW w:w="3420" w:type="dxa"/>
            <w:tcBorders>
              <w:top w:val="nil"/>
              <w:left w:val="single" w:sz="8" w:space="0" w:color="000000"/>
              <w:bottom w:val="single" w:sz="8" w:space="0" w:color="000000"/>
              <w:right w:val="single" w:sz="8" w:space="0" w:color="000000"/>
            </w:tcBorders>
            <w:shd w:val="clear" w:color="auto" w:fill="auto"/>
            <w:noWrap/>
            <w:vAlign w:val="center"/>
            <w:hideMark/>
          </w:tcPr>
          <w:p w:rsidR="00AC6A9D" w:rsidRPr="00AC6A9D" w:rsidRDefault="00AC6A9D" w:rsidP="00AC6A9D">
            <w:pPr>
              <w:spacing w:after="0" w:line="240" w:lineRule="auto"/>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U.S. Metropolitan Areas</w:t>
            </w:r>
          </w:p>
        </w:tc>
        <w:tc>
          <w:tcPr>
            <w:tcW w:w="1350" w:type="dxa"/>
            <w:tcBorders>
              <w:top w:val="single" w:sz="12" w:space="0" w:color="auto"/>
              <w:left w:val="nil"/>
              <w:bottom w:val="single" w:sz="8" w:space="0" w:color="000000"/>
              <w:right w:val="nil"/>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13,400,379</w:t>
            </w:r>
          </w:p>
        </w:tc>
        <w:tc>
          <w:tcPr>
            <w:tcW w:w="1350" w:type="dxa"/>
            <w:tcBorders>
              <w:top w:val="single" w:sz="12" w:space="0" w:color="auto"/>
              <w:left w:val="single" w:sz="8" w:space="0" w:color="auto"/>
              <w:bottom w:val="single" w:sz="8" w:space="0" w:color="000000"/>
              <w:right w:val="single" w:sz="8" w:space="0" w:color="auto"/>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14,863,879</w:t>
            </w:r>
          </w:p>
        </w:tc>
        <w:tc>
          <w:tcPr>
            <w:tcW w:w="1309" w:type="dxa"/>
            <w:tcBorders>
              <w:top w:val="single" w:sz="12" w:space="0" w:color="auto"/>
              <w:left w:val="nil"/>
              <w:bottom w:val="single" w:sz="8" w:space="0" w:color="000000"/>
              <w:right w:val="nil"/>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14,802,781</w:t>
            </w:r>
          </w:p>
        </w:tc>
        <w:tc>
          <w:tcPr>
            <w:tcW w:w="1211" w:type="dxa"/>
            <w:tcBorders>
              <w:top w:val="single" w:sz="12" w:space="0" w:color="000000"/>
              <w:left w:val="single" w:sz="12" w:space="0" w:color="000000"/>
              <w:bottom w:val="single" w:sz="8" w:space="0" w:color="000000"/>
              <w:right w:val="single" w:sz="12"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1.8</w:t>
            </w:r>
          </w:p>
        </w:tc>
        <w:tc>
          <w:tcPr>
            <w:tcW w:w="1260" w:type="dxa"/>
            <w:tcBorders>
              <w:top w:val="single" w:sz="12" w:space="0" w:color="auto"/>
              <w:left w:val="nil"/>
              <w:bottom w:val="single" w:sz="8" w:space="0" w:color="000000"/>
              <w:right w:val="single" w:sz="8"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1.7</w:t>
            </w:r>
          </w:p>
        </w:tc>
      </w:tr>
      <w:tr w:rsidR="00AC6A9D" w:rsidRPr="00AC6A9D" w:rsidTr="00AC6A9D">
        <w:trPr>
          <w:trHeight w:val="345"/>
        </w:trPr>
        <w:tc>
          <w:tcPr>
            <w:tcW w:w="3420" w:type="dxa"/>
            <w:tcBorders>
              <w:top w:val="nil"/>
              <w:left w:val="single" w:sz="8" w:space="0" w:color="000000"/>
              <w:bottom w:val="nil"/>
              <w:right w:val="nil"/>
            </w:tcBorders>
            <w:shd w:val="clear" w:color="auto" w:fill="auto"/>
            <w:noWrap/>
            <w:vAlign w:val="center"/>
            <w:hideMark/>
          </w:tcPr>
          <w:p w:rsidR="00AC6A9D" w:rsidRPr="00AC6A9D" w:rsidRDefault="00AC6A9D" w:rsidP="00AC6A9D">
            <w:pPr>
              <w:spacing w:after="0" w:line="240" w:lineRule="auto"/>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 xml:space="preserve">Abilene </w:t>
            </w:r>
          </w:p>
        </w:tc>
        <w:tc>
          <w:tcPr>
            <w:tcW w:w="1350" w:type="dxa"/>
            <w:tcBorders>
              <w:top w:val="nil"/>
              <w:left w:val="single" w:sz="12" w:space="0" w:color="000000"/>
              <w:bottom w:val="nil"/>
              <w:right w:val="single" w:sz="8"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5,660</w:t>
            </w:r>
          </w:p>
        </w:tc>
        <w:tc>
          <w:tcPr>
            <w:tcW w:w="1350" w:type="dxa"/>
            <w:tcBorders>
              <w:top w:val="nil"/>
              <w:left w:val="nil"/>
              <w:bottom w:val="nil"/>
              <w:right w:val="single" w:sz="8"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6,733</w:t>
            </w:r>
          </w:p>
        </w:tc>
        <w:tc>
          <w:tcPr>
            <w:tcW w:w="1309" w:type="dxa"/>
            <w:tcBorders>
              <w:top w:val="nil"/>
              <w:left w:val="nil"/>
              <w:bottom w:val="nil"/>
              <w:right w:val="single" w:sz="12"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6,539</w:t>
            </w:r>
          </w:p>
        </w:tc>
        <w:tc>
          <w:tcPr>
            <w:tcW w:w="1211" w:type="dxa"/>
            <w:tcBorders>
              <w:top w:val="nil"/>
              <w:left w:val="nil"/>
              <w:bottom w:val="nil"/>
              <w:right w:val="single" w:sz="12"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4.4</w:t>
            </w:r>
          </w:p>
        </w:tc>
        <w:tc>
          <w:tcPr>
            <w:tcW w:w="1260" w:type="dxa"/>
            <w:tcBorders>
              <w:top w:val="nil"/>
              <w:left w:val="nil"/>
              <w:bottom w:val="nil"/>
              <w:right w:val="single" w:sz="8"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-2.9</w:t>
            </w:r>
          </w:p>
        </w:tc>
      </w:tr>
      <w:tr w:rsidR="00AC6A9D" w:rsidRPr="00AC6A9D" w:rsidTr="00AC6A9D">
        <w:trPr>
          <w:trHeight w:val="345"/>
        </w:trPr>
        <w:tc>
          <w:tcPr>
            <w:tcW w:w="3420" w:type="dxa"/>
            <w:tcBorders>
              <w:top w:val="nil"/>
              <w:left w:val="single" w:sz="8" w:space="0" w:color="000000"/>
              <w:bottom w:val="nil"/>
              <w:right w:val="nil"/>
            </w:tcBorders>
            <w:shd w:val="clear" w:color="auto" w:fill="auto"/>
            <w:noWrap/>
            <w:vAlign w:val="center"/>
            <w:hideMark/>
          </w:tcPr>
          <w:p w:rsidR="00AC6A9D" w:rsidRPr="00AC6A9D" w:rsidRDefault="00AC6A9D" w:rsidP="00AC6A9D">
            <w:pPr>
              <w:spacing w:after="0" w:line="240" w:lineRule="auto"/>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Amarillo</w:t>
            </w:r>
          </w:p>
        </w:tc>
        <w:tc>
          <w:tcPr>
            <w:tcW w:w="1350" w:type="dxa"/>
            <w:tcBorders>
              <w:top w:val="nil"/>
              <w:left w:val="single" w:sz="12" w:space="0" w:color="000000"/>
              <w:bottom w:val="nil"/>
              <w:right w:val="single" w:sz="8"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10,943</w:t>
            </w:r>
          </w:p>
        </w:tc>
        <w:tc>
          <w:tcPr>
            <w:tcW w:w="1350" w:type="dxa"/>
            <w:tcBorders>
              <w:top w:val="nil"/>
              <w:left w:val="nil"/>
              <w:bottom w:val="nil"/>
              <w:right w:val="single" w:sz="8"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11,763</w:t>
            </w:r>
          </w:p>
        </w:tc>
        <w:tc>
          <w:tcPr>
            <w:tcW w:w="1309" w:type="dxa"/>
            <w:tcBorders>
              <w:top w:val="nil"/>
              <w:left w:val="nil"/>
              <w:bottom w:val="nil"/>
              <w:right w:val="single" w:sz="12"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11,906</w:t>
            </w:r>
          </w:p>
        </w:tc>
        <w:tc>
          <w:tcPr>
            <w:tcW w:w="1211" w:type="dxa"/>
            <w:tcBorders>
              <w:top w:val="nil"/>
              <w:left w:val="nil"/>
              <w:bottom w:val="nil"/>
              <w:right w:val="single" w:sz="12"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1.8</w:t>
            </w:r>
          </w:p>
        </w:tc>
        <w:tc>
          <w:tcPr>
            <w:tcW w:w="1260" w:type="dxa"/>
            <w:tcBorders>
              <w:top w:val="nil"/>
              <w:left w:val="nil"/>
              <w:bottom w:val="nil"/>
              <w:right w:val="single" w:sz="8"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1.2</w:t>
            </w:r>
          </w:p>
        </w:tc>
      </w:tr>
      <w:tr w:rsidR="00AC6A9D" w:rsidRPr="00AC6A9D" w:rsidTr="00AC6A9D">
        <w:trPr>
          <w:trHeight w:val="345"/>
        </w:trPr>
        <w:tc>
          <w:tcPr>
            <w:tcW w:w="3420" w:type="dxa"/>
            <w:tcBorders>
              <w:top w:val="nil"/>
              <w:left w:val="single" w:sz="8" w:space="0" w:color="000000"/>
              <w:bottom w:val="nil"/>
              <w:right w:val="nil"/>
            </w:tcBorders>
            <w:shd w:val="clear" w:color="auto" w:fill="auto"/>
            <w:noWrap/>
            <w:vAlign w:val="center"/>
            <w:hideMark/>
          </w:tcPr>
          <w:p w:rsidR="00AC6A9D" w:rsidRPr="00AC6A9D" w:rsidRDefault="00AC6A9D" w:rsidP="00AC6A9D">
            <w:pPr>
              <w:spacing w:after="0" w:line="240" w:lineRule="auto"/>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Austin-Round Rock</w:t>
            </w:r>
          </w:p>
        </w:tc>
        <w:tc>
          <w:tcPr>
            <w:tcW w:w="1350" w:type="dxa"/>
            <w:tcBorders>
              <w:top w:val="nil"/>
              <w:left w:val="single" w:sz="12" w:space="0" w:color="000000"/>
              <w:bottom w:val="nil"/>
              <w:right w:val="single" w:sz="8"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93,413</w:t>
            </w:r>
          </w:p>
        </w:tc>
        <w:tc>
          <w:tcPr>
            <w:tcW w:w="1350" w:type="dxa"/>
            <w:tcBorders>
              <w:top w:val="nil"/>
              <w:left w:val="nil"/>
              <w:bottom w:val="nil"/>
              <w:right w:val="single" w:sz="8" w:space="0" w:color="000000"/>
            </w:tcBorders>
            <w:shd w:val="clear" w:color="auto" w:fill="auto"/>
            <w:noWrap/>
            <w:vAlign w:val="center"/>
            <w:hideMark/>
          </w:tcPr>
          <w:p w:rsidR="00AC6A9D" w:rsidRPr="00AC6A9D" w:rsidRDefault="00AC6A9D" w:rsidP="00AC6A9D">
            <w:pPr>
              <w:spacing w:after="0" w:line="240" w:lineRule="auto"/>
              <w:ind w:hanging="14"/>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119,914</w:t>
            </w:r>
          </w:p>
        </w:tc>
        <w:tc>
          <w:tcPr>
            <w:tcW w:w="1309" w:type="dxa"/>
            <w:tcBorders>
              <w:top w:val="nil"/>
              <w:left w:val="nil"/>
              <w:bottom w:val="nil"/>
              <w:right w:val="single" w:sz="12"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125,816</w:t>
            </w:r>
          </w:p>
        </w:tc>
        <w:tc>
          <w:tcPr>
            <w:tcW w:w="1211" w:type="dxa"/>
            <w:tcBorders>
              <w:top w:val="nil"/>
              <w:left w:val="nil"/>
              <w:bottom w:val="nil"/>
              <w:right w:val="single" w:sz="12"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6.4</w:t>
            </w:r>
          </w:p>
        </w:tc>
        <w:tc>
          <w:tcPr>
            <w:tcW w:w="1260" w:type="dxa"/>
            <w:tcBorders>
              <w:top w:val="nil"/>
              <w:left w:val="nil"/>
              <w:bottom w:val="nil"/>
              <w:right w:val="single" w:sz="8"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4.9</w:t>
            </w:r>
          </w:p>
        </w:tc>
      </w:tr>
      <w:tr w:rsidR="00AC6A9D" w:rsidRPr="00AC6A9D" w:rsidTr="00AC6A9D">
        <w:trPr>
          <w:trHeight w:val="345"/>
        </w:trPr>
        <w:tc>
          <w:tcPr>
            <w:tcW w:w="3420" w:type="dxa"/>
            <w:tcBorders>
              <w:top w:val="nil"/>
              <w:left w:val="single" w:sz="8" w:space="0" w:color="000000"/>
              <w:bottom w:val="nil"/>
              <w:right w:val="nil"/>
            </w:tcBorders>
            <w:shd w:val="clear" w:color="auto" w:fill="auto"/>
            <w:noWrap/>
            <w:vAlign w:val="center"/>
            <w:hideMark/>
          </w:tcPr>
          <w:p w:rsidR="00AC6A9D" w:rsidRPr="00AC6A9D" w:rsidRDefault="00AC6A9D" w:rsidP="00AC6A9D">
            <w:pPr>
              <w:spacing w:after="0" w:line="240" w:lineRule="auto"/>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Brownsville-Harlingen</w:t>
            </w:r>
          </w:p>
        </w:tc>
        <w:tc>
          <w:tcPr>
            <w:tcW w:w="1350" w:type="dxa"/>
            <w:tcBorders>
              <w:top w:val="nil"/>
              <w:left w:val="single" w:sz="12" w:space="0" w:color="000000"/>
              <w:bottom w:val="nil"/>
              <w:right w:val="single" w:sz="8"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8,532</w:t>
            </w:r>
          </w:p>
        </w:tc>
        <w:tc>
          <w:tcPr>
            <w:tcW w:w="1350" w:type="dxa"/>
            <w:tcBorders>
              <w:top w:val="nil"/>
              <w:left w:val="nil"/>
              <w:bottom w:val="nil"/>
              <w:right w:val="single" w:sz="8"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8,918</w:t>
            </w:r>
          </w:p>
        </w:tc>
        <w:tc>
          <w:tcPr>
            <w:tcW w:w="1309" w:type="dxa"/>
            <w:tcBorders>
              <w:top w:val="nil"/>
              <w:left w:val="nil"/>
              <w:bottom w:val="nil"/>
              <w:right w:val="single" w:sz="12"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9,160</w:t>
            </w:r>
          </w:p>
        </w:tc>
        <w:tc>
          <w:tcPr>
            <w:tcW w:w="1211" w:type="dxa"/>
            <w:tcBorders>
              <w:top w:val="nil"/>
              <w:left w:val="nil"/>
              <w:bottom w:val="nil"/>
              <w:right w:val="single" w:sz="12"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1.1</w:t>
            </w:r>
          </w:p>
        </w:tc>
        <w:tc>
          <w:tcPr>
            <w:tcW w:w="1260" w:type="dxa"/>
            <w:tcBorders>
              <w:top w:val="nil"/>
              <w:left w:val="nil"/>
              <w:bottom w:val="nil"/>
              <w:right w:val="single" w:sz="8"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1.1</w:t>
            </w:r>
          </w:p>
        </w:tc>
      </w:tr>
      <w:tr w:rsidR="00AC6A9D" w:rsidRPr="00AC6A9D" w:rsidTr="00AC6A9D">
        <w:trPr>
          <w:trHeight w:val="345"/>
        </w:trPr>
        <w:tc>
          <w:tcPr>
            <w:tcW w:w="3420" w:type="dxa"/>
            <w:tcBorders>
              <w:top w:val="nil"/>
              <w:left w:val="single" w:sz="8" w:space="0" w:color="000000"/>
              <w:bottom w:val="nil"/>
              <w:right w:val="nil"/>
            </w:tcBorders>
            <w:shd w:val="clear" w:color="auto" w:fill="auto"/>
            <w:noWrap/>
            <w:vAlign w:val="center"/>
            <w:hideMark/>
          </w:tcPr>
          <w:p w:rsidR="00AC6A9D" w:rsidRPr="00AC6A9D" w:rsidRDefault="00AC6A9D" w:rsidP="00AC6A9D">
            <w:pPr>
              <w:spacing w:after="0" w:line="240" w:lineRule="auto"/>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College Station-Bryan</w:t>
            </w:r>
          </w:p>
        </w:tc>
        <w:tc>
          <w:tcPr>
            <w:tcW w:w="1350" w:type="dxa"/>
            <w:tcBorders>
              <w:top w:val="nil"/>
              <w:left w:val="single" w:sz="12" w:space="0" w:color="000000"/>
              <w:bottom w:val="nil"/>
              <w:right w:val="single" w:sz="8"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7,531</w:t>
            </w:r>
          </w:p>
        </w:tc>
        <w:tc>
          <w:tcPr>
            <w:tcW w:w="1350" w:type="dxa"/>
            <w:tcBorders>
              <w:top w:val="nil"/>
              <w:left w:val="nil"/>
              <w:bottom w:val="nil"/>
              <w:right w:val="single" w:sz="8"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8,782</w:t>
            </w:r>
          </w:p>
        </w:tc>
        <w:tc>
          <w:tcPr>
            <w:tcW w:w="1309" w:type="dxa"/>
            <w:tcBorders>
              <w:top w:val="nil"/>
              <w:left w:val="nil"/>
              <w:bottom w:val="nil"/>
              <w:right w:val="single" w:sz="12"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8,599</w:t>
            </w:r>
          </w:p>
        </w:tc>
        <w:tc>
          <w:tcPr>
            <w:tcW w:w="1211" w:type="dxa"/>
            <w:tcBorders>
              <w:top w:val="nil"/>
              <w:left w:val="nil"/>
              <w:bottom w:val="nil"/>
              <w:right w:val="single" w:sz="12"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3.9</w:t>
            </w:r>
          </w:p>
        </w:tc>
        <w:tc>
          <w:tcPr>
            <w:tcW w:w="1260" w:type="dxa"/>
            <w:tcBorders>
              <w:top w:val="nil"/>
              <w:left w:val="nil"/>
              <w:bottom w:val="nil"/>
              <w:right w:val="single" w:sz="8"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-2.1</w:t>
            </w:r>
          </w:p>
        </w:tc>
      </w:tr>
      <w:tr w:rsidR="00AC6A9D" w:rsidRPr="00AC6A9D" w:rsidTr="00AC6A9D">
        <w:trPr>
          <w:trHeight w:val="345"/>
        </w:trPr>
        <w:tc>
          <w:tcPr>
            <w:tcW w:w="3420" w:type="dxa"/>
            <w:tcBorders>
              <w:top w:val="nil"/>
              <w:left w:val="single" w:sz="8" w:space="0" w:color="000000"/>
              <w:bottom w:val="nil"/>
              <w:right w:val="nil"/>
            </w:tcBorders>
            <w:shd w:val="clear" w:color="auto" w:fill="auto"/>
            <w:noWrap/>
            <w:vAlign w:val="center"/>
            <w:hideMark/>
          </w:tcPr>
          <w:p w:rsidR="00AC6A9D" w:rsidRPr="00AC6A9D" w:rsidRDefault="00AC6A9D" w:rsidP="00AC6A9D">
            <w:pPr>
              <w:spacing w:after="0" w:line="240" w:lineRule="auto"/>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Corpus Christi</w:t>
            </w:r>
          </w:p>
        </w:tc>
        <w:tc>
          <w:tcPr>
            <w:tcW w:w="1350" w:type="dxa"/>
            <w:tcBorders>
              <w:top w:val="nil"/>
              <w:left w:val="single" w:sz="12" w:space="0" w:color="000000"/>
              <w:bottom w:val="nil"/>
              <w:right w:val="single" w:sz="8"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17,991</w:t>
            </w:r>
          </w:p>
        </w:tc>
        <w:tc>
          <w:tcPr>
            <w:tcW w:w="1350" w:type="dxa"/>
            <w:tcBorders>
              <w:top w:val="nil"/>
              <w:left w:val="nil"/>
              <w:bottom w:val="nil"/>
              <w:right w:val="single" w:sz="8"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20,625</w:t>
            </w:r>
          </w:p>
        </w:tc>
        <w:tc>
          <w:tcPr>
            <w:tcW w:w="1309" w:type="dxa"/>
            <w:tcBorders>
              <w:top w:val="nil"/>
              <w:left w:val="nil"/>
              <w:bottom w:val="nil"/>
              <w:right w:val="single" w:sz="12"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20,268</w:t>
            </w:r>
          </w:p>
        </w:tc>
        <w:tc>
          <w:tcPr>
            <w:tcW w:w="1211" w:type="dxa"/>
            <w:tcBorders>
              <w:top w:val="nil"/>
              <w:left w:val="nil"/>
              <w:bottom w:val="nil"/>
              <w:right w:val="single" w:sz="12"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3.5</w:t>
            </w:r>
          </w:p>
        </w:tc>
        <w:tc>
          <w:tcPr>
            <w:tcW w:w="1260" w:type="dxa"/>
            <w:tcBorders>
              <w:top w:val="nil"/>
              <w:left w:val="nil"/>
              <w:bottom w:val="nil"/>
              <w:right w:val="single" w:sz="8"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-1.7</w:t>
            </w:r>
          </w:p>
        </w:tc>
      </w:tr>
      <w:tr w:rsidR="00AC6A9D" w:rsidRPr="00AC6A9D" w:rsidTr="00AC6A9D">
        <w:trPr>
          <w:trHeight w:val="345"/>
        </w:trPr>
        <w:tc>
          <w:tcPr>
            <w:tcW w:w="3420" w:type="dxa"/>
            <w:tcBorders>
              <w:top w:val="nil"/>
              <w:left w:val="single" w:sz="8" w:space="0" w:color="000000"/>
              <w:bottom w:val="nil"/>
              <w:right w:val="nil"/>
            </w:tcBorders>
            <w:shd w:val="clear" w:color="auto" w:fill="auto"/>
            <w:noWrap/>
            <w:vAlign w:val="center"/>
            <w:hideMark/>
          </w:tcPr>
          <w:p w:rsidR="00AC6A9D" w:rsidRPr="00AC6A9D" w:rsidRDefault="00AC6A9D" w:rsidP="00AC6A9D">
            <w:pPr>
              <w:spacing w:after="0" w:line="240" w:lineRule="auto"/>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Dallas-Fort Worth-Arlington</w:t>
            </w:r>
          </w:p>
        </w:tc>
        <w:tc>
          <w:tcPr>
            <w:tcW w:w="1350" w:type="dxa"/>
            <w:tcBorders>
              <w:top w:val="nil"/>
              <w:left w:val="single" w:sz="12" w:space="0" w:color="000000"/>
              <w:bottom w:val="nil"/>
              <w:right w:val="single" w:sz="8"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372,208</w:t>
            </w:r>
          </w:p>
        </w:tc>
        <w:tc>
          <w:tcPr>
            <w:tcW w:w="1350" w:type="dxa"/>
            <w:tcBorders>
              <w:top w:val="nil"/>
              <w:left w:val="nil"/>
              <w:bottom w:val="nil"/>
              <w:right w:val="single" w:sz="8"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457,409</w:t>
            </w:r>
          </w:p>
        </w:tc>
        <w:tc>
          <w:tcPr>
            <w:tcW w:w="1309" w:type="dxa"/>
            <w:tcBorders>
              <w:top w:val="nil"/>
              <w:left w:val="nil"/>
              <w:bottom w:val="nil"/>
              <w:right w:val="single" w:sz="12"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471,278</w:t>
            </w:r>
          </w:p>
        </w:tc>
        <w:tc>
          <w:tcPr>
            <w:tcW w:w="1211" w:type="dxa"/>
            <w:tcBorders>
              <w:top w:val="nil"/>
              <w:left w:val="nil"/>
              <w:bottom w:val="nil"/>
              <w:right w:val="single" w:sz="12"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2.3</w:t>
            </w:r>
          </w:p>
        </w:tc>
        <w:tc>
          <w:tcPr>
            <w:tcW w:w="1260" w:type="dxa"/>
            <w:tcBorders>
              <w:top w:val="nil"/>
              <w:left w:val="nil"/>
              <w:bottom w:val="nil"/>
              <w:right w:val="single" w:sz="8"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3.0</w:t>
            </w:r>
          </w:p>
        </w:tc>
      </w:tr>
      <w:tr w:rsidR="00AC6A9D" w:rsidRPr="00AC6A9D" w:rsidTr="00AC6A9D">
        <w:trPr>
          <w:trHeight w:val="345"/>
        </w:trPr>
        <w:tc>
          <w:tcPr>
            <w:tcW w:w="3420" w:type="dxa"/>
            <w:tcBorders>
              <w:top w:val="nil"/>
              <w:left w:val="single" w:sz="8" w:space="0" w:color="000000"/>
              <w:bottom w:val="nil"/>
              <w:right w:val="nil"/>
            </w:tcBorders>
            <w:shd w:val="clear" w:color="auto" w:fill="auto"/>
            <w:noWrap/>
            <w:vAlign w:val="center"/>
            <w:hideMark/>
          </w:tcPr>
          <w:p w:rsidR="00AC6A9D" w:rsidRPr="00AC6A9D" w:rsidRDefault="00AC6A9D" w:rsidP="00AC6A9D">
            <w:pPr>
              <w:spacing w:after="0" w:line="240" w:lineRule="auto"/>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El Paso</w:t>
            </w:r>
          </w:p>
        </w:tc>
        <w:tc>
          <w:tcPr>
            <w:tcW w:w="1350" w:type="dxa"/>
            <w:tcBorders>
              <w:top w:val="nil"/>
              <w:left w:val="single" w:sz="12" w:space="0" w:color="000000"/>
              <w:bottom w:val="nil"/>
              <w:right w:val="single" w:sz="8"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24,318</w:t>
            </w:r>
          </w:p>
        </w:tc>
        <w:tc>
          <w:tcPr>
            <w:tcW w:w="1350" w:type="dxa"/>
            <w:tcBorders>
              <w:top w:val="nil"/>
              <w:left w:val="nil"/>
              <w:bottom w:val="nil"/>
              <w:right w:val="single" w:sz="8"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24,841</w:t>
            </w:r>
          </w:p>
        </w:tc>
        <w:tc>
          <w:tcPr>
            <w:tcW w:w="1309" w:type="dxa"/>
            <w:tcBorders>
              <w:top w:val="nil"/>
              <w:left w:val="nil"/>
              <w:bottom w:val="nil"/>
              <w:right w:val="single" w:sz="12"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25,380</w:t>
            </w:r>
          </w:p>
        </w:tc>
        <w:tc>
          <w:tcPr>
            <w:tcW w:w="1211" w:type="dxa"/>
            <w:tcBorders>
              <w:top w:val="nil"/>
              <w:left w:val="nil"/>
              <w:bottom w:val="nil"/>
              <w:right w:val="single" w:sz="12"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0.5</w:t>
            </w:r>
          </w:p>
        </w:tc>
        <w:tc>
          <w:tcPr>
            <w:tcW w:w="1260" w:type="dxa"/>
            <w:tcBorders>
              <w:top w:val="nil"/>
              <w:left w:val="nil"/>
              <w:bottom w:val="nil"/>
              <w:right w:val="single" w:sz="8"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2.2</w:t>
            </w:r>
          </w:p>
        </w:tc>
      </w:tr>
      <w:tr w:rsidR="00AC6A9D" w:rsidRPr="00AC6A9D" w:rsidTr="00AC6A9D">
        <w:trPr>
          <w:trHeight w:val="345"/>
        </w:trPr>
        <w:tc>
          <w:tcPr>
            <w:tcW w:w="3420" w:type="dxa"/>
            <w:tcBorders>
              <w:top w:val="nil"/>
              <w:left w:val="single" w:sz="8" w:space="0" w:color="000000"/>
              <w:bottom w:val="nil"/>
              <w:right w:val="nil"/>
            </w:tcBorders>
            <w:shd w:val="clear" w:color="auto" w:fill="auto"/>
            <w:noWrap/>
            <w:vAlign w:val="center"/>
            <w:hideMark/>
          </w:tcPr>
          <w:p w:rsidR="00AC6A9D" w:rsidRPr="00AC6A9D" w:rsidRDefault="00AC6A9D" w:rsidP="00AC6A9D">
            <w:pPr>
              <w:spacing w:after="0" w:line="240" w:lineRule="auto"/>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Houston-Woodlands-Sugar Land</w:t>
            </w:r>
          </w:p>
        </w:tc>
        <w:tc>
          <w:tcPr>
            <w:tcW w:w="1350" w:type="dxa"/>
            <w:tcBorders>
              <w:top w:val="nil"/>
              <w:left w:val="single" w:sz="12" w:space="0" w:color="000000"/>
              <w:bottom w:val="nil"/>
              <w:right w:val="single" w:sz="8"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385,028</w:t>
            </w:r>
          </w:p>
        </w:tc>
        <w:tc>
          <w:tcPr>
            <w:tcW w:w="1350" w:type="dxa"/>
            <w:tcBorders>
              <w:top w:val="nil"/>
              <w:left w:val="nil"/>
              <w:bottom w:val="nil"/>
              <w:right w:val="single" w:sz="8"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456,245</w:t>
            </w:r>
          </w:p>
        </w:tc>
        <w:tc>
          <w:tcPr>
            <w:tcW w:w="1309" w:type="dxa"/>
            <w:tcBorders>
              <w:top w:val="nil"/>
              <w:left w:val="nil"/>
              <w:bottom w:val="nil"/>
              <w:right w:val="single" w:sz="12"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442,458</w:t>
            </w:r>
          </w:p>
        </w:tc>
        <w:tc>
          <w:tcPr>
            <w:tcW w:w="1211" w:type="dxa"/>
            <w:tcBorders>
              <w:top w:val="nil"/>
              <w:left w:val="nil"/>
              <w:bottom w:val="nil"/>
              <w:right w:val="single" w:sz="12"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2.6</w:t>
            </w:r>
          </w:p>
        </w:tc>
        <w:tc>
          <w:tcPr>
            <w:tcW w:w="1260" w:type="dxa"/>
            <w:tcBorders>
              <w:top w:val="nil"/>
              <w:left w:val="nil"/>
              <w:bottom w:val="nil"/>
              <w:right w:val="single" w:sz="8"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-3.0</w:t>
            </w:r>
          </w:p>
        </w:tc>
      </w:tr>
      <w:tr w:rsidR="00AC6A9D" w:rsidRPr="00AC6A9D" w:rsidTr="00AC6A9D">
        <w:trPr>
          <w:trHeight w:val="345"/>
        </w:trPr>
        <w:tc>
          <w:tcPr>
            <w:tcW w:w="3420" w:type="dxa"/>
            <w:tcBorders>
              <w:top w:val="nil"/>
              <w:left w:val="single" w:sz="8" w:space="0" w:color="000000"/>
              <w:bottom w:val="nil"/>
              <w:right w:val="nil"/>
            </w:tcBorders>
            <w:shd w:val="clear" w:color="auto" w:fill="auto"/>
            <w:noWrap/>
            <w:vAlign w:val="center"/>
            <w:hideMark/>
          </w:tcPr>
          <w:p w:rsidR="00AC6A9D" w:rsidRPr="00AC6A9D" w:rsidRDefault="00AC6A9D" w:rsidP="00AC6A9D">
            <w:pPr>
              <w:spacing w:after="0" w:line="240" w:lineRule="auto"/>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Killeen-Temple</w:t>
            </w:r>
          </w:p>
        </w:tc>
        <w:tc>
          <w:tcPr>
            <w:tcW w:w="1350" w:type="dxa"/>
            <w:tcBorders>
              <w:top w:val="nil"/>
              <w:left w:val="single" w:sz="12" w:space="0" w:color="000000"/>
              <w:bottom w:val="nil"/>
              <w:right w:val="single" w:sz="8"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15,502</w:t>
            </w:r>
          </w:p>
        </w:tc>
        <w:tc>
          <w:tcPr>
            <w:tcW w:w="1350" w:type="dxa"/>
            <w:tcBorders>
              <w:top w:val="nil"/>
              <w:left w:val="nil"/>
              <w:bottom w:val="nil"/>
              <w:right w:val="single" w:sz="8"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15,212</w:t>
            </w:r>
          </w:p>
        </w:tc>
        <w:tc>
          <w:tcPr>
            <w:tcW w:w="1309" w:type="dxa"/>
            <w:tcBorders>
              <w:top w:val="nil"/>
              <w:left w:val="nil"/>
              <w:bottom w:val="nil"/>
              <w:right w:val="single" w:sz="12"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15,817</w:t>
            </w:r>
          </w:p>
        </w:tc>
        <w:tc>
          <w:tcPr>
            <w:tcW w:w="1211" w:type="dxa"/>
            <w:tcBorders>
              <w:top w:val="nil"/>
              <w:left w:val="nil"/>
              <w:bottom w:val="nil"/>
              <w:right w:val="single" w:sz="12"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-0.1</w:t>
            </w:r>
          </w:p>
        </w:tc>
        <w:tc>
          <w:tcPr>
            <w:tcW w:w="1260" w:type="dxa"/>
            <w:tcBorders>
              <w:top w:val="nil"/>
              <w:left w:val="nil"/>
              <w:bottom w:val="nil"/>
              <w:right w:val="single" w:sz="8"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4.0</w:t>
            </w:r>
          </w:p>
        </w:tc>
      </w:tr>
      <w:tr w:rsidR="00AC6A9D" w:rsidRPr="00AC6A9D" w:rsidTr="00AC6A9D">
        <w:trPr>
          <w:trHeight w:val="345"/>
        </w:trPr>
        <w:tc>
          <w:tcPr>
            <w:tcW w:w="3420" w:type="dxa"/>
            <w:tcBorders>
              <w:top w:val="nil"/>
              <w:left w:val="single" w:sz="8" w:space="0" w:color="000000"/>
              <w:bottom w:val="nil"/>
              <w:right w:val="nil"/>
            </w:tcBorders>
            <w:shd w:val="clear" w:color="auto" w:fill="auto"/>
            <w:noWrap/>
            <w:vAlign w:val="center"/>
            <w:hideMark/>
          </w:tcPr>
          <w:p w:rsidR="00AC6A9D" w:rsidRPr="00AC6A9D" w:rsidRDefault="00AC6A9D" w:rsidP="00AC6A9D">
            <w:pPr>
              <w:spacing w:after="0" w:line="240" w:lineRule="auto"/>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Laredo</w:t>
            </w:r>
          </w:p>
        </w:tc>
        <w:tc>
          <w:tcPr>
            <w:tcW w:w="1350" w:type="dxa"/>
            <w:tcBorders>
              <w:top w:val="nil"/>
              <w:left w:val="single" w:sz="12" w:space="0" w:color="000000"/>
              <w:bottom w:val="nil"/>
              <w:right w:val="single" w:sz="8"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6,989</w:t>
            </w:r>
          </w:p>
        </w:tc>
        <w:tc>
          <w:tcPr>
            <w:tcW w:w="1350" w:type="dxa"/>
            <w:tcBorders>
              <w:top w:val="nil"/>
              <w:left w:val="nil"/>
              <w:bottom w:val="nil"/>
              <w:right w:val="single" w:sz="8"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7,112</w:t>
            </w:r>
          </w:p>
        </w:tc>
        <w:tc>
          <w:tcPr>
            <w:tcW w:w="1309" w:type="dxa"/>
            <w:tcBorders>
              <w:top w:val="nil"/>
              <w:left w:val="nil"/>
              <w:bottom w:val="nil"/>
              <w:right w:val="single" w:sz="12"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7,079</w:t>
            </w:r>
          </w:p>
        </w:tc>
        <w:tc>
          <w:tcPr>
            <w:tcW w:w="1211" w:type="dxa"/>
            <w:tcBorders>
              <w:top w:val="nil"/>
              <w:left w:val="nil"/>
              <w:bottom w:val="nil"/>
              <w:right w:val="single" w:sz="12"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0.3</w:t>
            </w:r>
          </w:p>
        </w:tc>
        <w:tc>
          <w:tcPr>
            <w:tcW w:w="1260" w:type="dxa"/>
            <w:tcBorders>
              <w:top w:val="nil"/>
              <w:left w:val="nil"/>
              <w:bottom w:val="nil"/>
              <w:right w:val="single" w:sz="8"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-0.5</w:t>
            </w:r>
          </w:p>
        </w:tc>
      </w:tr>
      <w:tr w:rsidR="00AC6A9D" w:rsidRPr="00AC6A9D" w:rsidTr="00AC6A9D">
        <w:trPr>
          <w:trHeight w:val="345"/>
        </w:trPr>
        <w:tc>
          <w:tcPr>
            <w:tcW w:w="3420" w:type="dxa"/>
            <w:tcBorders>
              <w:top w:val="nil"/>
              <w:left w:val="single" w:sz="8" w:space="0" w:color="000000"/>
              <w:bottom w:val="nil"/>
              <w:right w:val="nil"/>
            </w:tcBorders>
            <w:shd w:val="clear" w:color="auto" w:fill="auto"/>
            <w:noWrap/>
            <w:vAlign w:val="center"/>
            <w:hideMark/>
          </w:tcPr>
          <w:p w:rsidR="00AC6A9D" w:rsidRPr="00AC6A9D" w:rsidRDefault="00AC6A9D" w:rsidP="00AC6A9D">
            <w:pPr>
              <w:spacing w:after="0" w:line="240" w:lineRule="auto"/>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Longview</w:t>
            </w:r>
          </w:p>
        </w:tc>
        <w:tc>
          <w:tcPr>
            <w:tcW w:w="1350" w:type="dxa"/>
            <w:tcBorders>
              <w:top w:val="nil"/>
              <w:left w:val="single" w:sz="12" w:space="0" w:color="000000"/>
              <w:bottom w:val="nil"/>
              <w:right w:val="single" w:sz="8"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9,795</w:t>
            </w:r>
          </w:p>
        </w:tc>
        <w:tc>
          <w:tcPr>
            <w:tcW w:w="1350" w:type="dxa"/>
            <w:tcBorders>
              <w:top w:val="nil"/>
              <w:left w:val="nil"/>
              <w:bottom w:val="nil"/>
              <w:right w:val="single" w:sz="8"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9,680</w:t>
            </w:r>
          </w:p>
        </w:tc>
        <w:tc>
          <w:tcPr>
            <w:tcW w:w="1309" w:type="dxa"/>
            <w:tcBorders>
              <w:top w:val="nil"/>
              <w:left w:val="nil"/>
              <w:bottom w:val="nil"/>
              <w:right w:val="single" w:sz="12"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9,017</w:t>
            </w:r>
          </w:p>
        </w:tc>
        <w:tc>
          <w:tcPr>
            <w:tcW w:w="1211" w:type="dxa"/>
            <w:tcBorders>
              <w:top w:val="nil"/>
              <w:left w:val="nil"/>
              <w:bottom w:val="nil"/>
              <w:right w:val="single" w:sz="12"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0.0</w:t>
            </w:r>
          </w:p>
        </w:tc>
        <w:tc>
          <w:tcPr>
            <w:tcW w:w="1260" w:type="dxa"/>
            <w:tcBorders>
              <w:top w:val="nil"/>
              <w:left w:val="nil"/>
              <w:bottom w:val="nil"/>
              <w:right w:val="single" w:sz="8"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-6.9</w:t>
            </w:r>
          </w:p>
        </w:tc>
      </w:tr>
      <w:tr w:rsidR="00AC6A9D" w:rsidRPr="00AC6A9D" w:rsidTr="00AC6A9D">
        <w:trPr>
          <w:trHeight w:val="345"/>
        </w:trPr>
        <w:tc>
          <w:tcPr>
            <w:tcW w:w="3420" w:type="dxa"/>
            <w:tcBorders>
              <w:top w:val="nil"/>
              <w:left w:val="single" w:sz="8" w:space="0" w:color="000000"/>
              <w:bottom w:val="nil"/>
              <w:right w:val="nil"/>
            </w:tcBorders>
            <w:shd w:val="clear" w:color="auto" w:fill="auto"/>
            <w:noWrap/>
            <w:vAlign w:val="center"/>
            <w:hideMark/>
          </w:tcPr>
          <w:p w:rsidR="00AC6A9D" w:rsidRPr="00AC6A9D" w:rsidRDefault="00AC6A9D" w:rsidP="00AC6A9D">
            <w:pPr>
              <w:spacing w:after="0" w:line="240" w:lineRule="auto"/>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Lubbock</w:t>
            </w:r>
          </w:p>
        </w:tc>
        <w:tc>
          <w:tcPr>
            <w:tcW w:w="1350" w:type="dxa"/>
            <w:tcBorders>
              <w:top w:val="nil"/>
              <w:left w:val="single" w:sz="12" w:space="0" w:color="000000"/>
              <w:bottom w:val="nil"/>
              <w:right w:val="single" w:sz="8"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10,387</w:t>
            </w:r>
          </w:p>
        </w:tc>
        <w:tc>
          <w:tcPr>
            <w:tcW w:w="1350" w:type="dxa"/>
            <w:tcBorders>
              <w:top w:val="nil"/>
              <w:left w:val="nil"/>
              <w:bottom w:val="nil"/>
              <w:right w:val="single" w:sz="8"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11,558</w:t>
            </w:r>
          </w:p>
        </w:tc>
        <w:tc>
          <w:tcPr>
            <w:tcW w:w="1309" w:type="dxa"/>
            <w:tcBorders>
              <w:top w:val="nil"/>
              <w:left w:val="nil"/>
              <w:bottom w:val="nil"/>
              <w:right w:val="single" w:sz="12"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11,858</w:t>
            </w:r>
          </w:p>
        </w:tc>
        <w:tc>
          <w:tcPr>
            <w:tcW w:w="1211" w:type="dxa"/>
            <w:tcBorders>
              <w:top w:val="nil"/>
              <w:left w:val="nil"/>
              <w:bottom w:val="nil"/>
              <w:right w:val="single" w:sz="12"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2.7</w:t>
            </w:r>
          </w:p>
        </w:tc>
        <w:tc>
          <w:tcPr>
            <w:tcW w:w="1260" w:type="dxa"/>
            <w:tcBorders>
              <w:top w:val="nil"/>
              <w:left w:val="nil"/>
              <w:bottom w:val="nil"/>
              <w:right w:val="single" w:sz="8"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2.6</w:t>
            </w:r>
          </w:p>
        </w:tc>
      </w:tr>
      <w:tr w:rsidR="00AC6A9D" w:rsidRPr="00AC6A9D" w:rsidTr="00AC6A9D">
        <w:trPr>
          <w:trHeight w:val="345"/>
        </w:trPr>
        <w:tc>
          <w:tcPr>
            <w:tcW w:w="3420" w:type="dxa"/>
            <w:tcBorders>
              <w:top w:val="nil"/>
              <w:left w:val="single" w:sz="8" w:space="0" w:color="000000"/>
              <w:bottom w:val="nil"/>
              <w:right w:val="nil"/>
            </w:tcBorders>
            <w:shd w:val="clear" w:color="auto" w:fill="auto"/>
            <w:noWrap/>
            <w:vAlign w:val="center"/>
            <w:hideMark/>
          </w:tcPr>
          <w:p w:rsidR="00AC6A9D" w:rsidRPr="00AC6A9D" w:rsidRDefault="00AC6A9D" w:rsidP="00AC6A9D">
            <w:pPr>
              <w:spacing w:after="0" w:line="240" w:lineRule="auto"/>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McAllen-Edinburg-Mission</w:t>
            </w:r>
          </w:p>
        </w:tc>
        <w:tc>
          <w:tcPr>
            <w:tcW w:w="1350" w:type="dxa"/>
            <w:tcBorders>
              <w:top w:val="nil"/>
              <w:left w:val="single" w:sz="12" w:space="0" w:color="000000"/>
              <w:bottom w:val="nil"/>
              <w:right w:val="single" w:sz="8"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15,525</w:t>
            </w:r>
          </w:p>
        </w:tc>
        <w:tc>
          <w:tcPr>
            <w:tcW w:w="1350" w:type="dxa"/>
            <w:tcBorders>
              <w:top w:val="nil"/>
              <w:left w:val="nil"/>
              <w:bottom w:val="nil"/>
              <w:right w:val="single" w:sz="8"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17,175</w:t>
            </w:r>
          </w:p>
        </w:tc>
        <w:tc>
          <w:tcPr>
            <w:tcW w:w="1309" w:type="dxa"/>
            <w:tcBorders>
              <w:top w:val="nil"/>
              <w:left w:val="nil"/>
              <w:bottom w:val="nil"/>
              <w:right w:val="single" w:sz="12"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17,303</w:t>
            </w:r>
          </w:p>
        </w:tc>
        <w:tc>
          <w:tcPr>
            <w:tcW w:w="1211" w:type="dxa"/>
            <w:tcBorders>
              <w:top w:val="nil"/>
              <w:left w:val="nil"/>
              <w:bottom w:val="nil"/>
              <w:right w:val="single" w:sz="12"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2.6</w:t>
            </w:r>
          </w:p>
        </w:tc>
        <w:tc>
          <w:tcPr>
            <w:tcW w:w="1260" w:type="dxa"/>
            <w:tcBorders>
              <w:top w:val="nil"/>
              <w:left w:val="nil"/>
              <w:bottom w:val="nil"/>
              <w:right w:val="single" w:sz="8"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0.7</w:t>
            </w:r>
          </w:p>
        </w:tc>
      </w:tr>
      <w:tr w:rsidR="00AC6A9D" w:rsidRPr="00AC6A9D" w:rsidTr="00AC6A9D">
        <w:trPr>
          <w:trHeight w:val="345"/>
        </w:trPr>
        <w:tc>
          <w:tcPr>
            <w:tcW w:w="3420" w:type="dxa"/>
            <w:tcBorders>
              <w:top w:val="nil"/>
              <w:left w:val="single" w:sz="8" w:space="0" w:color="000000"/>
              <w:bottom w:val="nil"/>
              <w:right w:val="nil"/>
            </w:tcBorders>
            <w:shd w:val="clear" w:color="auto" w:fill="auto"/>
            <w:noWrap/>
            <w:vAlign w:val="center"/>
            <w:hideMark/>
          </w:tcPr>
          <w:p w:rsidR="00AC6A9D" w:rsidRPr="00AC6A9D" w:rsidRDefault="00AC6A9D" w:rsidP="00AC6A9D">
            <w:pPr>
              <w:spacing w:after="0" w:line="240" w:lineRule="auto"/>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Midland</w:t>
            </w:r>
          </w:p>
        </w:tc>
        <w:tc>
          <w:tcPr>
            <w:tcW w:w="1350" w:type="dxa"/>
            <w:tcBorders>
              <w:top w:val="nil"/>
              <w:left w:val="single" w:sz="12" w:space="0" w:color="000000"/>
              <w:bottom w:val="nil"/>
              <w:right w:val="single" w:sz="8"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19,827</w:t>
            </w:r>
          </w:p>
        </w:tc>
        <w:tc>
          <w:tcPr>
            <w:tcW w:w="1350" w:type="dxa"/>
            <w:tcBorders>
              <w:top w:val="nil"/>
              <w:left w:val="nil"/>
              <w:bottom w:val="nil"/>
              <w:right w:val="single" w:sz="8"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29,777</w:t>
            </w:r>
          </w:p>
        </w:tc>
        <w:tc>
          <w:tcPr>
            <w:tcW w:w="1309" w:type="dxa"/>
            <w:tcBorders>
              <w:top w:val="nil"/>
              <w:left w:val="nil"/>
              <w:bottom w:val="nil"/>
              <w:right w:val="single" w:sz="12"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29,591</w:t>
            </w:r>
          </w:p>
        </w:tc>
        <w:tc>
          <w:tcPr>
            <w:tcW w:w="1211" w:type="dxa"/>
            <w:tcBorders>
              <w:top w:val="nil"/>
              <w:left w:val="nil"/>
              <w:bottom w:val="nil"/>
              <w:right w:val="single" w:sz="12"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10.7</w:t>
            </w:r>
          </w:p>
        </w:tc>
        <w:tc>
          <w:tcPr>
            <w:tcW w:w="1260" w:type="dxa"/>
            <w:tcBorders>
              <w:top w:val="nil"/>
              <w:left w:val="nil"/>
              <w:bottom w:val="nil"/>
              <w:right w:val="single" w:sz="8"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-0.6</w:t>
            </w:r>
          </w:p>
        </w:tc>
      </w:tr>
      <w:tr w:rsidR="00AC6A9D" w:rsidRPr="00AC6A9D" w:rsidTr="00AC6A9D">
        <w:trPr>
          <w:trHeight w:val="345"/>
        </w:trPr>
        <w:tc>
          <w:tcPr>
            <w:tcW w:w="3420" w:type="dxa"/>
            <w:tcBorders>
              <w:top w:val="nil"/>
              <w:left w:val="single" w:sz="8" w:space="0" w:color="000000"/>
              <w:bottom w:val="nil"/>
              <w:right w:val="nil"/>
            </w:tcBorders>
            <w:shd w:val="clear" w:color="auto" w:fill="auto"/>
            <w:noWrap/>
            <w:vAlign w:val="center"/>
            <w:hideMark/>
          </w:tcPr>
          <w:p w:rsidR="00AC6A9D" w:rsidRPr="00AC6A9D" w:rsidRDefault="00AC6A9D" w:rsidP="00AC6A9D">
            <w:pPr>
              <w:spacing w:after="0" w:line="240" w:lineRule="auto"/>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Odessa</w:t>
            </w:r>
          </w:p>
        </w:tc>
        <w:tc>
          <w:tcPr>
            <w:tcW w:w="1350" w:type="dxa"/>
            <w:tcBorders>
              <w:top w:val="nil"/>
              <w:left w:val="single" w:sz="12" w:space="0" w:color="000000"/>
              <w:bottom w:val="nil"/>
              <w:right w:val="single" w:sz="8"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7,493</w:t>
            </w:r>
          </w:p>
        </w:tc>
        <w:tc>
          <w:tcPr>
            <w:tcW w:w="1350" w:type="dxa"/>
            <w:tcBorders>
              <w:top w:val="nil"/>
              <w:left w:val="nil"/>
              <w:bottom w:val="nil"/>
              <w:right w:val="single" w:sz="8"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9,577</w:t>
            </w:r>
          </w:p>
        </w:tc>
        <w:tc>
          <w:tcPr>
            <w:tcW w:w="1309" w:type="dxa"/>
            <w:tcBorders>
              <w:top w:val="nil"/>
              <w:left w:val="nil"/>
              <w:bottom w:val="nil"/>
              <w:right w:val="single" w:sz="12"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8,308</w:t>
            </w:r>
          </w:p>
        </w:tc>
        <w:tc>
          <w:tcPr>
            <w:tcW w:w="1211" w:type="dxa"/>
            <w:tcBorders>
              <w:top w:val="nil"/>
              <w:left w:val="nil"/>
              <w:bottom w:val="nil"/>
              <w:right w:val="single" w:sz="12"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6.3</w:t>
            </w:r>
          </w:p>
        </w:tc>
        <w:tc>
          <w:tcPr>
            <w:tcW w:w="1260" w:type="dxa"/>
            <w:tcBorders>
              <w:top w:val="nil"/>
              <w:left w:val="nil"/>
              <w:bottom w:val="nil"/>
              <w:right w:val="single" w:sz="8"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-13.3</w:t>
            </w:r>
          </w:p>
        </w:tc>
      </w:tr>
      <w:tr w:rsidR="00AC6A9D" w:rsidRPr="00AC6A9D" w:rsidTr="00AC6A9D">
        <w:trPr>
          <w:trHeight w:val="345"/>
        </w:trPr>
        <w:tc>
          <w:tcPr>
            <w:tcW w:w="3420" w:type="dxa"/>
            <w:tcBorders>
              <w:top w:val="nil"/>
              <w:left w:val="single" w:sz="8" w:space="0" w:color="000000"/>
              <w:bottom w:val="nil"/>
              <w:right w:val="nil"/>
            </w:tcBorders>
            <w:shd w:val="clear" w:color="auto" w:fill="auto"/>
            <w:noWrap/>
            <w:vAlign w:val="center"/>
            <w:hideMark/>
          </w:tcPr>
          <w:p w:rsidR="00AC6A9D" w:rsidRPr="00AC6A9D" w:rsidRDefault="00AC6A9D" w:rsidP="00AC6A9D">
            <w:pPr>
              <w:spacing w:after="0" w:line="240" w:lineRule="auto"/>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San Angelo</w:t>
            </w:r>
          </w:p>
        </w:tc>
        <w:tc>
          <w:tcPr>
            <w:tcW w:w="1350" w:type="dxa"/>
            <w:tcBorders>
              <w:top w:val="nil"/>
              <w:left w:val="single" w:sz="12" w:space="0" w:color="000000"/>
              <w:bottom w:val="nil"/>
              <w:right w:val="single" w:sz="8"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4,044</w:t>
            </w:r>
          </w:p>
        </w:tc>
        <w:tc>
          <w:tcPr>
            <w:tcW w:w="1350" w:type="dxa"/>
            <w:tcBorders>
              <w:top w:val="nil"/>
              <w:left w:val="nil"/>
              <w:bottom w:val="nil"/>
              <w:right w:val="single" w:sz="8"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4,713</w:t>
            </w:r>
          </w:p>
        </w:tc>
        <w:tc>
          <w:tcPr>
            <w:tcW w:w="1309" w:type="dxa"/>
            <w:tcBorders>
              <w:top w:val="nil"/>
              <w:left w:val="nil"/>
              <w:bottom w:val="nil"/>
              <w:right w:val="single" w:sz="12"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4,505</w:t>
            </w:r>
          </w:p>
        </w:tc>
        <w:tc>
          <w:tcPr>
            <w:tcW w:w="1211" w:type="dxa"/>
            <w:tcBorders>
              <w:top w:val="nil"/>
              <w:left w:val="nil"/>
              <w:bottom w:val="nil"/>
              <w:right w:val="single" w:sz="12"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3.9</w:t>
            </w:r>
          </w:p>
        </w:tc>
        <w:tc>
          <w:tcPr>
            <w:tcW w:w="1260" w:type="dxa"/>
            <w:tcBorders>
              <w:top w:val="nil"/>
              <w:left w:val="nil"/>
              <w:bottom w:val="nil"/>
              <w:right w:val="single" w:sz="8"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-4.4</w:t>
            </w:r>
          </w:p>
        </w:tc>
      </w:tr>
      <w:tr w:rsidR="00AC6A9D" w:rsidRPr="00AC6A9D" w:rsidTr="00AC6A9D">
        <w:trPr>
          <w:trHeight w:val="345"/>
        </w:trPr>
        <w:tc>
          <w:tcPr>
            <w:tcW w:w="3420" w:type="dxa"/>
            <w:tcBorders>
              <w:top w:val="nil"/>
              <w:left w:val="single" w:sz="8" w:space="0" w:color="000000"/>
              <w:bottom w:val="nil"/>
              <w:right w:val="nil"/>
            </w:tcBorders>
            <w:shd w:val="clear" w:color="auto" w:fill="auto"/>
            <w:noWrap/>
            <w:vAlign w:val="center"/>
            <w:hideMark/>
          </w:tcPr>
          <w:p w:rsidR="00AC6A9D" w:rsidRPr="00AC6A9D" w:rsidRDefault="00AC6A9D" w:rsidP="00AC6A9D">
            <w:pPr>
              <w:spacing w:after="0" w:line="240" w:lineRule="auto"/>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San Antonio-New Braunfels</w:t>
            </w:r>
          </w:p>
        </w:tc>
        <w:tc>
          <w:tcPr>
            <w:tcW w:w="1350" w:type="dxa"/>
            <w:tcBorders>
              <w:top w:val="nil"/>
              <w:left w:val="single" w:sz="12" w:space="0" w:color="000000"/>
              <w:bottom w:val="nil"/>
              <w:right w:val="single" w:sz="8"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83,814</w:t>
            </w:r>
          </w:p>
        </w:tc>
        <w:tc>
          <w:tcPr>
            <w:tcW w:w="1350" w:type="dxa"/>
            <w:tcBorders>
              <w:top w:val="nil"/>
              <w:left w:val="nil"/>
              <w:bottom w:val="nil"/>
              <w:right w:val="single" w:sz="8"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103,032</w:t>
            </w:r>
          </w:p>
        </w:tc>
        <w:tc>
          <w:tcPr>
            <w:tcW w:w="1309" w:type="dxa"/>
            <w:tcBorders>
              <w:top w:val="nil"/>
              <w:left w:val="nil"/>
              <w:bottom w:val="nil"/>
              <w:right w:val="single" w:sz="12"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109,348</w:t>
            </w:r>
          </w:p>
        </w:tc>
        <w:tc>
          <w:tcPr>
            <w:tcW w:w="1211" w:type="dxa"/>
            <w:tcBorders>
              <w:top w:val="nil"/>
              <w:left w:val="nil"/>
              <w:bottom w:val="nil"/>
              <w:right w:val="single" w:sz="12"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5.3</w:t>
            </w:r>
          </w:p>
        </w:tc>
        <w:tc>
          <w:tcPr>
            <w:tcW w:w="1260" w:type="dxa"/>
            <w:tcBorders>
              <w:top w:val="nil"/>
              <w:left w:val="nil"/>
              <w:bottom w:val="nil"/>
              <w:right w:val="single" w:sz="8"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3.1</w:t>
            </w:r>
          </w:p>
        </w:tc>
      </w:tr>
      <w:tr w:rsidR="00AC6A9D" w:rsidRPr="00AC6A9D" w:rsidTr="00AC6A9D">
        <w:trPr>
          <w:trHeight w:val="345"/>
        </w:trPr>
        <w:tc>
          <w:tcPr>
            <w:tcW w:w="3420" w:type="dxa"/>
            <w:tcBorders>
              <w:top w:val="nil"/>
              <w:left w:val="single" w:sz="8" w:space="0" w:color="000000"/>
              <w:bottom w:val="nil"/>
              <w:right w:val="nil"/>
            </w:tcBorders>
            <w:shd w:val="clear" w:color="auto" w:fill="auto"/>
            <w:noWrap/>
            <w:vAlign w:val="center"/>
            <w:hideMark/>
          </w:tcPr>
          <w:p w:rsidR="00AC6A9D" w:rsidRPr="00AC6A9D" w:rsidRDefault="00AC6A9D" w:rsidP="00AC6A9D">
            <w:pPr>
              <w:spacing w:after="0" w:line="240" w:lineRule="auto"/>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Sherman-Denison</w:t>
            </w:r>
          </w:p>
        </w:tc>
        <w:tc>
          <w:tcPr>
            <w:tcW w:w="1350" w:type="dxa"/>
            <w:tcBorders>
              <w:top w:val="nil"/>
              <w:left w:val="single" w:sz="12" w:space="0" w:color="000000"/>
              <w:bottom w:val="nil"/>
              <w:right w:val="single" w:sz="8"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3,557</w:t>
            </w:r>
          </w:p>
        </w:tc>
        <w:tc>
          <w:tcPr>
            <w:tcW w:w="1350" w:type="dxa"/>
            <w:tcBorders>
              <w:top w:val="nil"/>
              <w:left w:val="nil"/>
              <w:bottom w:val="nil"/>
              <w:right w:val="single" w:sz="8"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3,827</w:t>
            </w:r>
          </w:p>
        </w:tc>
        <w:tc>
          <w:tcPr>
            <w:tcW w:w="1309" w:type="dxa"/>
            <w:tcBorders>
              <w:top w:val="nil"/>
              <w:left w:val="nil"/>
              <w:bottom w:val="nil"/>
              <w:right w:val="single" w:sz="12"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3,894</w:t>
            </w:r>
          </w:p>
        </w:tc>
        <w:tc>
          <w:tcPr>
            <w:tcW w:w="1211" w:type="dxa"/>
            <w:tcBorders>
              <w:top w:val="nil"/>
              <w:left w:val="nil"/>
              <w:bottom w:val="nil"/>
              <w:right w:val="single" w:sz="12"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1.8</w:t>
            </w:r>
          </w:p>
        </w:tc>
        <w:tc>
          <w:tcPr>
            <w:tcW w:w="1260" w:type="dxa"/>
            <w:tcBorders>
              <w:top w:val="nil"/>
              <w:left w:val="nil"/>
              <w:bottom w:val="nil"/>
              <w:right w:val="single" w:sz="8"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1.7</w:t>
            </w:r>
          </w:p>
        </w:tc>
      </w:tr>
      <w:tr w:rsidR="00AC6A9D" w:rsidRPr="00AC6A9D" w:rsidTr="00AC6A9D">
        <w:trPr>
          <w:trHeight w:val="345"/>
        </w:trPr>
        <w:tc>
          <w:tcPr>
            <w:tcW w:w="3420" w:type="dxa"/>
            <w:tcBorders>
              <w:top w:val="nil"/>
              <w:left w:val="single" w:sz="8" w:space="0" w:color="000000"/>
              <w:bottom w:val="nil"/>
              <w:right w:val="nil"/>
            </w:tcBorders>
            <w:shd w:val="clear" w:color="auto" w:fill="auto"/>
            <w:noWrap/>
            <w:vAlign w:val="center"/>
            <w:hideMark/>
          </w:tcPr>
          <w:p w:rsidR="00AC6A9D" w:rsidRPr="00AC6A9D" w:rsidRDefault="00AC6A9D" w:rsidP="00AC6A9D">
            <w:pPr>
              <w:spacing w:after="0" w:line="240" w:lineRule="auto"/>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Texarkana, TX-AR</w:t>
            </w:r>
          </w:p>
        </w:tc>
        <w:tc>
          <w:tcPr>
            <w:tcW w:w="1350" w:type="dxa"/>
            <w:tcBorders>
              <w:top w:val="nil"/>
              <w:left w:val="single" w:sz="12" w:space="0" w:color="000000"/>
              <w:bottom w:val="nil"/>
              <w:right w:val="single" w:sz="8"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4,984</w:t>
            </w:r>
          </w:p>
        </w:tc>
        <w:tc>
          <w:tcPr>
            <w:tcW w:w="1350" w:type="dxa"/>
            <w:tcBorders>
              <w:top w:val="nil"/>
              <w:left w:val="nil"/>
              <w:bottom w:val="nil"/>
              <w:right w:val="single" w:sz="8"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4,549</w:t>
            </w:r>
          </w:p>
        </w:tc>
        <w:tc>
          <w:tcPr>
            <w:tcW w:w="1309" w:type="dxa"/>
            <w:tcBorders>
              <w:top w:val="nil"/>
              <w:left w:val="nil"/>
              <w:bottom w:val="nil"/>
              <w:right w:val="single" w:sz="12"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4,646</w:t>
            </w:r>
          </w:p>
        </w:tc>
        <w:tc>
          <w:tcPr>
            <w:tcW w:w="1211" w:type="dxa"/>
            <w:tcBorders>
              <w:top w:val="nil"/>
              <w:left w:val="nil"/>
              <w:bottom w:val="nil"/>
              <w:right w:val="single" w:sz="12"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-0.2</w:t>
            </w:r>
          </w:p>
        </w:tc>
        <w:tc>
          <w:tcPr>
            <w:tcW w:w="1260" w:type="dxa"/>
            <w:tcBorders>
              <w:top w:val="nil"/>
              <w:left w:val="nil"/>
              <w:bottom w:val="nil"/>
              <w:right w:val="single" w:sz="8"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2.1</w:t>
            </w:r>
          </w:p>
        </w:tc>
      </w:tr>
      <w:tr w:rsidR="00AC6A9D" w:rsidRPr="00AC6A9D" w:rsidTr="00AC6A9D">
        <w:trPr>
          <w:trHeight w:val="345"/>
        </w:trPr>
        <w:tc>
          <w:tcPr>
            <w:tcW w:w="3420" w:type="dxa"/>
            <w:tcBorders>
              <w:top w:val="nil"/>
              <w:left w:val="single" w:sz="8" w:space="0" w:color="000000"/>
              <w:bottom w:val="nil"/>
              <w:right w:val="nil"/>
            </w:tcBorders>
            <w:shd w:val="clear" w:color="auto" w:fill="auto"/>
            <w:noWrap/>
            <w:vAlign w:val="center"/>
            <w:hideMark/>
          </w:tcPr>
          <w:p w:rsidR="00AC6A9D" w:rsidRPr="00AC6A9D" w:rsidRDefault="00AC6A9D" w:rsidP="00AC6A9D">
            <w:pPr>
              <w:spacing w:after="0" w:line="240" w:lineRule="auto"/>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Tyler</w:t>
            </w:r>
          </w:p>
        </w:tc>
        <w:tc>
          <w:tcPr>
            <w:tcW w:w="1350" w:type="dxa"/>
            <w:tcBorders>
              <w:top w:val="nil"/>
              <w:left w:val="single" w:sz="12" w:space="0" w:color="000000"/>
              <w:bottom w:val="nil"/>
              <w:right w:val="single" w:sz="8"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11,798</w:t>
            </w:r>
          </w:p>
        </w:tc>
        <w:tc>
          <w:tcPr>
            <w:tcW w:w="1350" w:type="dxa"/>
            <w:tcBorders>
              <w:top w:val="nil"/>
              <w:left w:val="nil"/>
              <w:bottom w:val="nil"/>
              <w:right w:val="single" w:sz="8"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14,286</w:t>
            </w:r>
          </w:p>
        </w:tc>
        <w:tc>
          <w:tcPr>
            <w:tcW w:w="1309" w:type="dxa"/>
            <w:tcBorders>
              <w:top w:val="nil"/>
              <w:left w:val="nil"/>
              <w:bottom w:val="nil"/>
              <w:right w:val="single" w:sz="12"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14,537</w:t>
            </w:r>
          </w:p>
        </w:tc>
        <w:tc>
          <w:tcPr>
            <w:tcW w:w="1211" w:type="dxa"/>
            <w:tcBorders>
              <w:top w:val="nil"/>
              <w:left w:val="nil"/>
              <w:bottom w:val="nil"/>
              <w:right w:val="single" w:sz="12"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4.9</w:t>
            </w:r>
          </w:p>
        </w:tc>
        <w:tc>
          <w:tcPr>
            <w:tcW w:w="1260" w:type="dxa"/>
            <w:tcBorders>
              <w:top w:val="nil"/>
              <w:left w:val="nil"/>
              <w:bottom w:val="nil"/>
              <w:right w:val="single" w:sz="8"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1.8</w:t>
            </w:r>
          </w:p>
        </w:tc>
      </w:tr>
      <w:tr w:rsidR="00AC6A9D" w:rsidRPr="00AC6A9D" w:rsidTr="00AC6A9D">
        <w:trPr>
          <w:trHeight w:val="345"/>
        </w:trPr>
        <w:tc>
          <w:tcPr>
            <w:tcW w:w="3420" w:type="dxa"/>
            <w:tcBorders>
              <w:top w:val="nil"/>
              <w:left w:val="single" w:sz="8" w:space="0" w:color="000000"/>
              <w:bottom w:val="nil"/>
              <w:right w:val="nil"/>
            </w:tcBorders>
            <w:shd w:val="clear" w:color="auto" w:fill="auto"/>
            <w:noWrap/>
            <w:vAlign w:val="center"/>
            <w:hideMark/>
          </w:tcPr>
          <w:p w:rsidR="00AC6A9D" w:rsidRPr="00AC6A9D" w:rsidRDefault="00AC6A9D" w:rsidP="00AC6A9D">
            <w:pPr>
              <w:spacing w:after="0" w:line="240" w:lineRule="auto"/>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Victoria</w:t>
            </w:r>
          </w:p>
        </w:tc>
        <w:tc>
          <w:tcPr>
            <w:tcW w:w="1350" w:type="dxa"/>
            <w:tcBorders>
              <w:top w:val="nil"/>
              <w:left w:val="single" w:sz="12" w:space="0" w:color="000000"/>
              <w:bottom w:val="nil"/>
              <w:right w:val="single" w:sz="8"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4,100</w:t>
            </w:r>
          </w:p>
        </w:tc>
        <w:tc>
          <w:tcPr>
            <w:tcW w:w="1350" w:type="dxa"/>
            <w:tcBorders>
              <w:top w:val="nil"/>
              <w:left w:val="nil"/>
              <w:bottom w:val="nil"/>
              <w:right w:val="single" w:sz="8"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4,821</w:t>
            </w:r>
          </w:p>
        </w:tc>
        <w:tc>
          <w:tcPr>
            <w:tcW w:w="1309" w:type="dxa"/>
            <w:tcBorders>
              <w:top w:val="nil"/>
              <w:left w:val="nil"/>
              <w:bottom w:val="nil"/>
              <w:right w:val="single" w:sz="12"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4,330</w:t>
            </w:r>
          </w:p>
        </w:tc>
        <w:tc>
          <w:tcPr>
            <w:tcW w:w="1211" w:type="dxa"/>
            <w:tcBorders>
              <w:top w:val="nil"/>
              <w:left w:val="nil"/>
              <w:bottom w:val="nil"/>
              <w:right w:val="single" w:sz="12"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4.1</w:t>
            </w:r>
          </w:p>
        </w:tc>
        <w:tc>
          <w:tcPr>
            <w:tcW w:w="1260" w:type="dxa"/>
            <w:tcBorders>
              <w:top w:val="nil"/>
              <w:left w:val="nil"/>
              <w:bottom w:val="nil"/>
              <w:right w:val="single" w:sz="8"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-10.2</w:t>
            </w:r>
          </w:p>
        </w:tc>
      </w:tr>
      <w:tr w:rsidR="00AC6A9D" w:rsidRPr="00AC6A9D" w:rsidTr="00AC6A9D">
        <w:trPr>
          <w:trHeight w:val="345"/>
        </w:trPr>
        <w:tc>
          <w:tcPr>
            <w:tcW w:w="3420" w:type="dxa"/>
            <w:tcBorders>
              <w:top w:val="nil"/>
              <w:left w:val="single" w:sz="8" w:space="0" w:color="000000"/>
              <w:bottom w:val="nil"/>
              <w:right w:val="nil"/>
            </w:tcBorders>
            <w:shd w:val="clear" w:color="auto" w:fill="auto"/>
            <w:noWrap/>
            <w:vAlign w:val="center"/>
            <w:hideMark/>
          </w:tcPr>
          <w:p w:rsidR="00AC6A9D" w:rsidRPr="00AC6A9D" w:rsidRDefault="00AC6A9D" w:rsidP="00AC6A9D">
            <w:pPr>
              <w:spacing w:after="0" w:line="240" w:lineRule="auto"/>
              <w:rPr>
                <w:rFonts w:ascii="Calibri" w:eastAsia="Times New Roman" w:hAnsi="Calibri" w:cs="Times New Roman"/>
                <w:b/>
                <w:bCs/>
                <w:color w:val="000000"/>
                <w:sz w:val="24"/>
                <w:szCs w:val="24"/>
              </w:rPr>
            </w:pPr>
            <w:r w:rsidRPr="00AC6A9D">
              <w:rPr>
                <w:rFonts w:ascii="Calibri" w:eastAsia="Times New Roman" w:hAnsi="Calibri" w:cs="Times New Roman"/>
                <w:b/>
                <w:bCs/>
                <w:color w:val="000000"/>
                <w:sz w:val="24"/>
                <w:szCs w:val="24"/>
              </w:rPr>
              <w:t>Waco</w:t>
            </w:r>
          </w:p>
        </w:tc>
        <w:tc>
          <w:tcPr>
            <w:tcW w:w="1350" w:type="dxa"/>
            <w:tcBorders>
              <w:top w:val="nil"/>
              <w:left w:val="single" w:sz="12" w:space="0" w:color="000000"/>
              <w:bottom w:val="nil"/>
              <w:right w:val="single" w:sz="8"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b/>
                <w:bCs/>
                <w:color w:val="000000"/>
                <w:sz w:val="24"/>
                <w:szCs w:val="24"/>
              </w:rPr>
            </w:pPr>
            <w:r w:rsidRPr="00AC6A9D">
              <w:rPr>
                <w:rFonts w:ascii="Calibri" w:eastAsia="Times New Roman" w:hAnsi="Calibri" w:cs="Times New Roman"/>
                <w:b/>
                <w:bCs/>
                <w:color w:val="000000"/>
                <w:sz w:val="24"/>
                <w:szCs w:val="24"/>
              </w:rPr>
              <w:t>8,995</w:t>
            </w:r>
          </w:p>
        </w:tc>
        <w:tc>
          <w:tcPr>
            <w:tcW w:w="1350" w:type="dxa"/>
            <w:tcBorders>
              <w:top w:val="nil"/>
              <w:left w:val="nil"/>
              <w:bottom w:val="nil"/>
              <w:right w:val="single" w:sz="8"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b/>
                <w:bCs/>
                <w:color w:val="000000"/>
                <w:sz w:val="24"/>
                <w:szCs w:val="24"/>
              </w:rPr>
            </w:pPr>
            <w:r w:rsidRPr="00AC6A9D">
              <w:rPr>
                <w:rFonts w:ascii="Calibri" w:eastAsia="Times New Roman" w:hAnsi="Calibri" w:cs="Times New Roman"/>
                <w:b/>
                <w:bCs/>
                <w:color w:val="000000"/>
                <w:sz w:val="24"/>
                <w:szCs w:val="24"/>
              </w:rPr>
              <w:t>10,191</w:t>
            </w:r>
          </w:p>
        </w:tc>
        <w:tc>
          <w:tcPr>
            <w:tcW w:w="1309" w:type="dxa"/>
            <w:tcBorders>
              <w:top w:val="nil"/>
              <w:left w:val="nil"/>
              <w:bottom w:val="nil"/>
              <w:right w:val="single" w:sz="12"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b/>
                <w:bCs/>
                <w:color w:val="000000"/>
                <w:sz w:val="24"/>
                <w:szCs w:val="24"/>
              </w:rPr>
            </w:pPr>
            <w:r w:rsidRPr="00AC6A9D">
              <w:rPr>
                <w:rFonts w:ascii="Calibri" w:eastAsia="Times New Roman" w:hAnsi="Calibri" w:cs="Times New Roman"/>
                <w:b/>
                <w:bCs/>
                <w:color w:val="000000"/>
                <w:sz w:val="24"/>
                <w:szCs w:val="24"/>
              </w:rPr>
              <w:t>10,586</w:t>
            </w:r>
          </w:p>
        </w:tc>
        <w:tc>
          <w:tcPr>
            <w:tcW w:w="1211" w:type="dxa"/>
            <w:tcBorders>
              <w:top w:val="nil"/>
              <w:left w:val="nil"/>
              <w:bottom w:val="nil"/>
              <w:right w:val="single" w:sz="12"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b/>
                <w:bCs/>
                <w:color w:val="000000"/>
                <w:sz w:val="24"/>
                <w:szCs w:val="24"/>
              </w:rPr>
            </w:pPr>
            <w:r w:rsidRPr="00AC6A9D">
              <w:rPr>
                <w:rFonts w:ascii="Calibri" w:eastAsia="Times New Roman" w:hAnsi="Calibri" w:cs="Times New Roman"/>
                <w:b/>
                <w:bCs/>
                <w:color w:val="000000"/>
                <w:sz w:val="24"/>
                <w:szCs w:val="24"/>
              </w:rPr>
              <w:t>3.2</w:t>
            </w:r>
          </w:p>
        </w:tc>
        <w:tc>
          <w:tcPr>
            <w:tcW w:w="1260" w:type="dxa"/>
            <w:tcBorders>
              <w:top w:val="nil"/>
              <w:left w:val="nil"/>
              <w:bottom w:val="nil"/>
              <w:right w:val="single" w:sz="8"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b/>
                <w:bCs/>
                <w:color w:val="000000"/>
                <w:sz w:val="24"/>
                <w:szCs w:val="24"/>
              </w:rPr>
            </w:pPr>
            <w:r w:rsidRPr="00AC6A9D">
              <w:rPr>
                <w:rFonts w:ascii="Calibri" w:eastAsia="Times New Roman" w:hAnsi="Calibri" w:cs="Times New Roman"/>
                <w:b/>
                <w:bCs/>
                <w:color w:val="000000"/>
                <w:sz w:val="24"/>
                <w:szCs w:val="24"/>
              </w:rPr>
              <w:t>3.9</w:t>
            </w:r>
          </w:p>
        </w:tc>
      </w:tr>
      <w:tr w:rsidR="00AC6A9D" w:rsidRPr="00AC6A9D" w:rsidTr="00AC6A9D">
        <w:trPr>
          <w:trHeight w:val="345"/>
        </w:trPr>
        <w:tc>
          <w:tcPr>
            <w:tcW w:w="3420" w:type="dxa"/>
            <w:tcBorders>
              <w:top w:val="nil"/>
              <w:left w:val="single" w:sz="8" w:space="0" w:color="000000"/>
              <w:bottom w:val="single" w:sz="8" w:space="0" w:color="000000"/>
              <w:right w:val="nil"/>
            </w:tcBorders>
            <w:shd w:val="clear" w:color="auto" w:fill="auto"/>
            <w:noWrap/>
            <w:vAlign w:val="center"/>
            <w:hideMark/>
          </w:tcPr>
          <w:p w:rsidR="00AC6A9D" w:rsidRPr="00AC6A9D" w:rsidRDefault="00AC6A9D" w:rsidP="00AC6A9D">
            <w:pPr>
              <w:spacing w:after="0" w:line="240" w:lineRule="auto"/>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Wichita Falls</w:t>
            </w:r>
          </w:p>
        </w:tc>
        <w:tc>
          <w:tcPr>
            <w:tcW w:w="1350" w:type="dxa"/>
            <w:tcBorders>
              <w:top w:val="nil"/>
              <w:left w:val="single" w:sz="12" w:space="0" w:color="000000"/>
              <w:bottom w:val="single" w:sz="8" w:space="0" w:color="000000"/>
              <w:right w:val="single" w:sz="8"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6,294</w:t>
            </w:r>
          </w:p>
        </w:tc>
        <w:tc>
          <w:tcPr>
            <w:tcW w:w="1350" w:type="dxa"/>
            <w:tcBorders>
              <w:top w:val="nil"/>
              <w:left w:val="nil"/>
              <w:bottom w:val="single" w:sz="8" w:space="0" w:color="000000"/>
              <w:right w:val="single" w:sz="8"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6,259</w:t>
            </w:r>
          </w:p>
        </w:tc>
        <w:tc>
          <w:tcPr>
            <w:tcW w:w="1309" w:type="dxa"/>
            <w:tcBorders>
              <w:top w:val="nil"/>
              <w:left w:val="nil"/>
              <w:bottom w:val="single" w:sz="8" w:space="0" w:color="000000"/>
              <w:right w:val="single" w:sz="12" w:space="0" w:color="000000"/>
            </w:tcBorders>
            <w:shd w:val="clear" w:color="auto" w:fill="auto"/>
            <w:noWrap/>
            <w:vAlign w:val="center"/>
            <w:hideMark/>
          </w:tcPr>
          <w:p w:rsidR="00AC6A9D" w:rsidRPr="00AC6A9D" w:rsidRDefault="00AC6A9D" w:rsidP="00AC6A9D">
            <w:pPr>
              <w:spacing w:after="0" w:line="240" w:lineRule="auto"/>
              <w:jc w:val="right"/>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6,175</w:t>
            </w:r>
          </w:p>
        </w:tc>
        <w:tc>
          <w:tcPr>
            <w:tcW w:w="1211" w:type="dxa"/>
            <w:tcBorders>
              <w:top w:val="nil"/>
              <w:left w:val="nil"/>
              <w:bottom w:val="single" w:sz="12" w:space="0" w:color="000000"/>
              <w:right w:val="single" w:sz="12"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0.0</w:t>
            </w:r>
          </w:p>
        </w:tc>
        <w:tc>
          <w:tcPr>
            <w:tcW w:w="1260" w:type="dxa"/>
            <w:tcBorders>
              <w:top w:val="nil"/>
              <w:left w:val="nil"/>
              <w:bottom w:val="single" w:sz="8" w:space="0" w:color="000000"/>
              <w:right w:val="single" w:sz="8" w:space="0" w:color="000000"/>
            </w:tcBorders>
            <w:shd w:val="clear" w:color="auto" w:fill="auto"/>
            <w:noWrap/>
            <w:vAlign w:val="center"/>
            <w:hideMark/>
          </w:tcPr>
          <w:p w:rsidR="00AC6A9D" w:rsidRPr="00AC6A9D" w:rsidRDefault="00AC6A9D" w:rsidP="00AC6A9D">
            <w:pPr>
              <w:spacing w:after="0" w:line="240" w:lineRule="auto"/>
              <w:jc w:val="center"/>
              <w:rPr>
                <w:rFonts w:ascii="Calibri" w:eastAsia="Times New Roman" w:hAnsi="Calibri" w:cs="Times New Roman"/>
                <w:color w:val="000000"/>
                <w:sz w:val="24"/>
                <w:szCs w:val="24"/>
              </w:rPr>
            </w:pPr>
            <w:r w:rsidRPr="00AC6A9D">
              <w:rPr>
                <w:rFonts w:ascii="Calibri" w:eastAsia="Times New Roman" w:hAnsi="Calibri" w:cs="Times New Roman"/>
                <w:color w:val="000000"/>
                <w:sz w:val="24"/>
                <w:szCs w:val="24"/>
              </w:rPr>
              <w:t>-1.3</w:t>
            </w:r>
          </w:p>
        </w:tc>
      </w:tr>
    </w:tbl>
    <w:p w:rsidR="00724789" w:rsidRPr="0020512B" w:rsidRDefault="00724789" w:rsidP="00724789">
      <w:pPr>
        <w:spacing w:after="0" w:line="300" w:lineRule="auto"/>
        <w:rPr>
          <w:rFonts w:eastAsia="Times New Roman" w:cs="Tahoma"/>
          <w:color w:val="333333"/>
          <w:sz w:val="20"/>
          <w:szCs w:val="20"/>
        </w:rPr>
      </w:pPr>
      <w:r w:rsidRPr="0020512B">
        <w:rPr>
          <w:rFonts w:eastAsia="Times New Roman" w:cs="Tahoma"/>
          <w:color w:val="333333"/>
          <w:sz w:val="20"/>
          <w:szCs w:val="20"/>
        </w:rPr>
        <w:t>Source:  U.S. Dept. of Commerce</w:t>
      </w:r>
    </w:p>
    <w:p w:rsidR="00B223B9" w:rsidRDefault="00B223B9" w:rsidP="00724789">
      <w:pPr>
        <w:spacing w:after="0" w:line="300" w:lineRule="auto"/>
        <w:ind w:firstLine="720"/>
        <w:rPr>
          <w:rFonts w:eastAsia="Times New Roman" w:cs="Tahoma"/>
          <w:color w:val="333333"/>
          <w:sz w:val="16"/>
          <w:szCs w:val="16"/>
        </w:rPr>
      </w:pPr>
    </w:p>
    <w:p w:rsidR="005757A7" w:rsidRPr="007C19B3" w:rsidRDefault="0026286F" w:rsidP="005757A7">
      <w:pPr>
        <w:tabs>
          <w:tab w:val="left" w:pos="720"/>
        </w:tabs>
        <w:spacing w:after="0" w:line="300" w:lineRule="auto"/>
        <w:rPr>
          <w:rFonts w:cs="Tahoma"/>
          <w:noProof/>
          <w:sz w:val="24"/>
          <w:szCs w:val="24"/>
        </w:rPr>
      </w:pPr>
      <w:r>
        <w:rPr>
          <w:rFonts w:cs="Tahoma"/>
          <w:noProof/>
          <w:sz w:val="26"/>
          <w:szCs w:val="26"/>
        </w:rPr>
        <w:tab/>
      </w:r>
      <w:r w:rsidRPr="007C19B3">
        <w:rPr>
          <w:rFonts w:cs="Tahoma"/>
          <w:noProof/>
          <w:sz w:val="24"/>
          <w:szCs w:val="24"/>
        </w:rPr>
        <w:t xml:space="preserve">Table 2 shows </w:t>
      </w:r>
      <w:r w:rsidR="00D8271E">
        <w:rPr>
          <w:rFonts w:cs="Tahoma"/>
          <w:noProof/>
          <w:sz w:val="24"/>
          <w:szCs w:val="24"/>
        </w:rPr>
        <w:t xml:space="preserve">that growth in real output </w:t>
      </w:r>
      <w:r w:rsidR="00D736D3">
        <w:rPr>
          <w:rFonts w:cs="Tahoma"/>
          <w:noProof/>
          <w:sz w:val="24"/>
          <w:szCs w:val="24"/>
        </w:rPr>
        <w:t xml:space="preserve">has </w:t>
      </w:r>
      <w:r w:rsidR="00D8271E">
        <w:rPr>
          <w:rFonts w:cs="Tahoma"/>
          <w:noProof/>
          <w:sz w:val="24"/>
          <w:szCs w:val="24"/>
        </w:rPr>
        <w:t>generate</w:t>
      </w:r>
      <w:r w:rsidR="00D736D3">
        <w:rPr>
          <w:rFonts w:cs="Tahoma"/>
          <w:noProof/>
          <w:sz w:val="24"/>
          <w:szCs w:val="24"/>
        </w:rPr>
        <w:t>d</w:t>
      </w:r>
      <w:r w:rsidR="00D8271E">
        <w:rPr>
          <w:rFonts w:cs="Tahoma"/>
          <w:noProof/>
          <w:sz w:val="24"/>
          <w:szCs w:val="24"/>
        </w:rPr>
        <w:t xml:space="preserve"> significant increases in</w:t>
      </w:r>
      <w:r w:rsidRPr="007C19B3">
        <w:rPr>
          <w:rFonts w:cs="Tahoma"/>
          <w:noProof/>
          <w:sz w:val="24"/>
          <w:szCs w:val="24"/>
        </w:rPr>
        <w:t xml:space="preserve"> </w:t>
      </w:r>
      <w:r w:rsidR="00D736D3">
        <w:rPr>
          <w:rFonts w:cs="Tahoma"/>
          <w:noProof/>
          <w:sz w:val="24"/>
          <w:szCs w:val="24"/>
        </w:rPr>
        <w:t xml:space="preserve">the </w:t>
      </w:r>
      <w:r w:rsidRPr="007C19B3">
        <w:rPr>
          <w:rFonts w:cs="Tahoma"/>
          <w:noProof/>
          <w:sz w:val="24"/>
          <w:szCs w:val="24"/>
        </w:rPr>
        <w:t>average annual percent change in quarterly estimates of employment</w:t>
      </w:r>
      <w:r w:rsidR="00D736D3">
        <w:rPr>
          <w:rFonts w:cs="Tahoma"/>
          <w:noProof/>
          <w:sz w:val="24"/>
          <w:szCs w:val="24"/>
        </w:rPr>
        <w:t xml:space="preserve"> and</w:t>
      </w:r>
      <w:r w:rsidRPr="007C19B3">
        <w:rPr>
          <w:rFonts w:cs="Tahoma"/>
          <w:noProof/>
          <w:sz w:val="24"/>
          <w:szCs w:val="24"/>
        </w:rPr>
        <w:t xml:space="preserve"> the labor force</w:t>
      </w:r>
      <w:r w:rsidR="00D736D3">
        <w:rPr>
          <w:rFonts w:cs="Tahoma"/>
          <w:noProof/>
          <w:sz w:val="24"/>
          <w:szCs w:val="24"/>
        </w:rPr>
        <w:t xml:space="preserve"> in </w:t>
      </w:r>
      <w:r w:rsidR="00D736D3" w:rsidRPr="007C19B3">
        <w:rPr>
          <w:rFonts w:cs="Tahoma"/>
          <w:noProof/>
          <w:sz w:val="24"/>
          <w:szCs w:val="24"/>
        </w:rPr>
        <w:t>the Waco Metro Area</w:t>
      </w:r>
      <w:r w:rsidR="00D736D3">
        <w:rPr>
          <w:rFonts w:cs="Tahoma"/>
          <w:noProof/>
          <w:sz w:val="24"/>
          <w:szCs w:val="24"/>
        </w:rPr>
        <w:t xml:space="preserve"> compared with</w:t>
      </w:r>
      <w:r w:rsidRPr="007C19B3">
        <w:rPr>
          <w:rFonts w:cs="Tahoma"/>
          <w:noProof/>
          <w:sz w:val="24"/>
          <w:szCs w:val="24"/>
        </w:rPr>
        <w:t xml:space="preserve"> the same quarter of the previous year</w:t>
      </w:r>
      <w:r w:rsidR="00D8271E">
        <w:rPr>
          <w:rFonts w:cs="Tahoma"/>
          <w:noProof/>
          <w:sz w:val="24"/>
          <w:szCs w:val="24"/>
        </w:rPr>
        <w:t xml:space="preserve">.  </w:t>
      </w:r>
      <w:r w:rsidRPr="007C19B3">
        <w:rPr>
          <w:rFonts w:cs="Tahoma"/>
          <w:noProof/>
          <w:sz w:val="24"/>
          <w:szCs w:val="24"/>
        </w:rPr>
        <w:t xml:space="preserve">  Early on during an expansion period employment growth often precedes growth in the labor force that responds </w:t>
      </w:r>
      <w:r w:rsidR="00D8271E">
        <w:rPr>
          <w:rFonts w:cs="Tahoma"/>
          <w:noProof/>
          <w:sz w:val="24"/>
          <w:szCs w:val="24"/>
        </w:rPr>
        <w:t>with</w:t>
      </w:r>
      <w:r w:rsidRPr="007C19B3">
        <w:rPr>
          <w:rFonts w:cs="Tahoma"/>
          <w:noProof/>
          <w:sz w:val="24"/>
          <w:szCs w:val="24"/>
        </w:rPr>
        <w:t xml:space="preserve"> </w:t>
      </w:r>
      <w:r w:rsidR="00D736D3">
        <w:rPr>
          <w:rFonts w:cs="Tahoma"/>
          <w:noProof/>
          <w:sz w:val="24"/>
          <w:szCs w:val="24"/>
        </w:rPr>
        <w:t xml:space="preserve">both </w:t>
      </w:r>
      <w:r w:rsidRPr="007C19B3">
        <w:rPr>
          <w:rFonts w:cs="Tahoma"/>
          <w:noProof/>
          <w:sz w:val="24"/>
          <w:szCs w:val="24"/>
        </w:rPr>
        <w:t xml:space="preserve">a lower layoff rate and higher job finding rate among existing and potential workers.  </w:t>
      </w:r>
      <w:r w:rsidR="00D736D3">
        <w:rPr>
          <w:rFonts w:cs="Tahoma"/>
          <w:noProof/>
          <w:sz w:val="24"/>
          <w:szCs w:val="24"/>
        </w:rPr>
        <w:t xml:space="preserve">During the second quarter of 2016 </w:t>
      </w:r>
      <w:r w:rsidR="00AD4724" w:rsidRPr="007C19B3">
        <w:rPr>
          <w:rFonts w:cs="Tahoma"/>
          <w:noProof/>
          <w:sz w:val="24"/>
          <w:szCs w:val="24"/>
        </w:rPr>
        <w:t xml:space="preserve">growth in employment was more than matched by growth in the labor force that </w:t>
      </w:r>
      <w:r w:rsidR="00AD4724">
        <w:rPr>
          <w:rFonts w:cs="Tahoma"/>
          <w:noProof/>
          <w:sz w:val="24"/>
          <w:szCs w:val="24"/>
        </w:rPr>
        <w:t>not only increased due to a higher the labor force participation rate of existing workers but als</w:t>
      </w:r>
      <w:r w:rsidR="008606C3">
        <w:rPr>
          <w:rFonts w:cs="Tahoma"/>
          <w:noProof/>
          <w:sz w:val="24"/>
          <w:szCs w:val="24"/>
        </w:rPr>
        <w:t xml:space="preserve">o benefitted from net in </w:t>
      </w:r>
      <w:r w:rsidR="00AD4724">
        <w:rPr>
          <w:rFonts w:cs="Tahoma"/>
          <w:noProof/>
          <w:sz w:val="24"/>
          <w:szCs w:val="24"/>
        </w:rPr>
        <w:t>migration of workers.   A</w:t>
      </w:r>
      <w:r w:rsidR="005757A7" w:rsidRPr="007C19B3">
        <w:rPr>
          <w:rFonts w:cs="Tahoma"/>
          <w:noProof/>
          <w:sz w:val="24"/>
          <w:szCs w:val="24"/>
        </w:rPr>
        <w:t xml:space="preserve">fter reaching a 7.5% record quarterly </w:t>
      </w:r>
      <w:r w:rsidR="00AD4724">
        <w:rPr>
          <w:rFonts w:cs="Tahoma"/>
          <w:noProof/>
          <w:sz w:val="24"/>
          <w:szCs w:val="24"/>
        </w:rPr>
        <w:t xml:space="preserve">growth </w:t>
      </w:r>
      <w:r w:rsidR="005757A7" w:rsidRPr="007C19B3">
        <w:rPr>
          <w:rFonts w:eastAsia="Times New Roman" w:cs="Tahoma"/>
          <w:sz w:val="24"/>
          <w:szCs w:val="24"/>
        </w:rPr>
        <w:t>rate in employment in 2</w:t>
      </w:r>
      <w:r w:rsidR="005757A7" w:rsidRPr="007C19B3">
        <w:rPr>
          <w:rFonts w:eastAsia="Times New Roman" w:cs="Tahoma"/>
          <w:sz w:val="24"/>
          <w:szCs w:val="24"/>
          <w:vertAlign w:val="superscript"/>
        </w:rPr>
        <w:t>nd</w:t>
      </w:r>
      <w:r w:rsidR="005757A7" w:rsidRPr="007C19B3">
        <w:rPr>
          <w:rFonts w:eastAsia="Times New Roman" w:cs="Tahoma"/>
          <w:sz w:val="24"/>
          <w:szCs w:val="24"/>
        </w:rPr>
        <w:t xml:space="preserve"> quarter</w:t>
      </w:r>
      <w:r w:rsidR="00AD4724">
        <w:rPr>
          <w:rFonts w:eastAsia="Times New Roman" w:cs="Tahoma"/>
          <w:sz w:val="24"/>
          <w:szCs w:val="24"/>
        </w:rPr>
        <w:t xml:space="preserve"> 2016</w:t>
      </w:r>
      <w:r w:rsidR="005757A7" w:rsidRPr="007C19B3">
        <w:rPr>
          <w:rFonts w:eastAsia="Times New Roman" w:cs="Tahoma"/>
          <w:sz w:val="24"/>
          <w:szCs w:val="24"/>
        </w:rPr>
        <w:t xml:space="preserve"> </w:t>
      </w:r>
      <w:r w:rsidR="005757A7" w:rsidRPr="007C19B3">
        <w:rPr>
          <w:rFonts w:cs="Tahoma"/>
          <w:noProof/>
          <w:sz w:val="24"/>
          <w:szCs w:val="24"/>
        </w:rPr>
        <w:t xml:space="preserve">the annual pace of employment growth </w:t>
      </w:r>
      <w:r w:rsidR="00D8271E">
        <w:rPr>
          <w:rFonts w:cs="Tahoma"/>
          <w:noProof/>
          <w:sz w:val="24"/>
          <w:szCs w:val="24"/>
        </w:rPr>
        <w:t>slowed to</w:t>
      </w:r>
      <w:r w:rsidR="005757A7" w:rsidRPr="007C19B3">
        <w:rPr>
          <w:rFonts w:cs="Tahoma"/>
          <w:noProof/>
          <w:sz w:val="24"/>
          <w:szCs w:val="24"/>
        </w:rPr>
        <w:t xml:space="preserve"> about 2.2% over the following three quarters before </w:t>
      </w:r>
      <w:r w:rsidR="00626C3A">
        <w:rPr>
          <w:rFonts w:cs="Tahoma"/>
          <w:noProof/>
          <w:sz w:val="24"/>
          <w:szCs w:val="24"/>
        </w:rPr>
        <w:t xml:space="preserve">falling </w:t>
      </w:r>
      <w:r w:rsidR="005757A7" w:rsidRPr="007C19B3">
        <w:rPr>
          <w:rFonts w:cs="Tahoma"/>
          <w:noProof/>
          <w:sz w:val="24"/>
          <w:szCs w:val="24"/>
        </w:rPr>
        <w:t>to 0.5% in the second quarter of 2017.</w:t>
      </w:r>
      <w:r w:rsidR="00F611E7">
        <w:rPr>
          <w:rFonts w:cs="Tahoma"/>
          <w:noProof/>
          <w:sz w:val="24"/>
          <w:szCs w:val="24"/>
        </w:rPr>
        <w:t xml:space="preserve">  </w:t>
      </w:r>
      <w:r w:rsidR="00626C3A">
        <w:rPr>
          <w:rFonts w:cs="Tahoma"/>
          <w:noProof/>
          <w:sz w:val="24"/>
          <w:szCs w:val="24"/>
        </w:rPr>
        <w:t>In</w:t>
      </w:r>
      <w:r w:rsidR="00F611E7">
        <w:rPr>
          <w:rFonts w:cs="Tahoma"/>
          <w:noProof/>
          <w:sz w:val="24"/>
          <w:szCs w:val="24"/>
        </w:rPr>
        <w:t xml:space="preserve"> </w:t>
      </w:r>
      <w:r w:rsidR="005E158D">
        <w:rPr>
          <w:rFonts w:cs="Tahoma"/>
          <w:noProof/>
          <w:sz w:val="24"/>
          <w:szCs w:val="24"/>
        </w:rPr>
        <w:t xml:space="preserve">September and </w:t>
      </w:r>
      <w:r w:rsidR="00065EBA">
        <w:rPr>
          <w:rFonts w:cs="Tahoma"/>
          <w:noProof/>
          <w:sz w:val="24"/>
          <w:szCs w:val="24"/>
        </w:rPr>
        <w:t>October</w:t>
      </w:r>
      <w:r w:rsidR="00F611E7">
        <w:rPr>
          <w:rFonts w:cs="Tahoma"/>
          <w:noProof/>
          <w:sz w:val="24"/>
          <w:szCs w:val="24"/>
        </w:rPr>
        <w:t xml:space="preserve"> 2017 </w:t>
      </w:r>
      <w:r w:rsidR="00626C3A">
        <w:rPr>
          <w:rFonts w:cs="Tahoma"/>
          <w:noProof/>
          <w:sz w:val="24"/>
          <w:szCs w:val="24"/>
        </w:rPr>
        <w:t xml:space="preserve">the </w:t>
      </w:r>
      <w:r w:rsidR="00F611E7">
        <w:rPr>
          <w:rFonts w:cs="Tahoma"/>
          <w:noProof/>
          <w:sz w:val="24"/>
          <w:szCs w:val="24"/>
        </w:rPr>
        <w:t xml:space="preserve">unemployment rate in Waco fell </w:t>
      </w:r>
      <w:r w:rsidR="005E158D">
        <w:rPr>
          <w:rFonts w:cs="Tahoma"/>
          <w:noProof/>
          <w:sz w:val="24"/>
          <w:szCs w:val="24"/>
        </w:rPr>
        <w:t xml:space="preserve">below 4% </w:t>
      </w:r>
      <w:r w:rsidR="00AD4724">
        <w:rPr>
          <w:rFonts w:cs="Tahoma"/>
          <w:noProof/>
          <w:sz w:val="24"/>
          <w:szCs w:val="24"/>
        </w:rPr>
        <w:t xml:space="preserve">due to </w:t>
      </w:r>
      <w:r w:rsidR="007217BB">
        <w:rPr>
          <w:rFonts w:cs="Tahoma"/>
          <w:noProof/>
          <w:sz w:val="24"/>
          <w:szCs w:val="24"/>
        </w:rPr>
        <w:t>a</w:t>
      </w:r>
      <w:r w:rsidR="005E158D">
        <w:rPr>
          <w:rFonts w:cs="Tahoma"/>
          <w:noProof/>
          <w:sz w:val="24"/>
          <w:szCs w:val="24"/>
        </w:rPr>
        <w:t xml:space="preserve"> dec</w:t>
      </w:r>
      <w:r w:rsidR="007217BB">
        <w:rPr>
          <w:rFonts w:cs="Tahoma"/>
          <w:noProof/>
          <w:sz w:val="24"/>
          <w:szCs w:val="24"/>
        </w:rPr>
        <w:t>rease</w:t>
      </w:r>
      <w:r w:rsidR="00AD4724">
        <w:rPr>
          <w:rFonts w:cs="Tahoma"/>
          <w:noProof/>
          <w:sz w:val="24"/>
          <w:szCs w:val="24"/>
        </w:rPr>
        <w:t xml:space="preserve"> in the labor force that exceeded the </w:t>
      </w:r>
      <w:r w:rsidR="006D4D4C">
        <w:rPr>
          <w:rFonts w:cs="Tahoma"/>
          <w:noProof/>
          <w:sz w:val="24"/>
          <w:szCs w:val="24"/>
        </w:rPr>
        <w:t xml:space="preserve"> loss of  local jobs </w:t>
      </w:r>
      <w:r w:rsidR="00626C3A">
        <w:rPr>
          <w:rFonts w:cs="Tahoma"/>
          <w:noProof/>
          <w:sz w:val="24"/>
          <w:szCs w:val="24"/>
        </w:rPr>
        <w:t xml:space="preserve">compared with </w:t>
      </w:r>
      <w:r w:rsidR="005E158D">
        <w:rPr>
          <w:rFonts w:cs="Tahoma"/>
          <w:noProof/>
          <w:sz w:val="24"/>
          <w:szCs w:val="24"/>
        </w:rPr>
        <w:t xml:space="preserve">same month </w:t>
      </w:r>
      <w:r w:rsidR="00AD4724">
        <w:rPr>
          <w:rFonts w:cs="Tahoma"/>
          <w:noProof/>
          <w:sz w:val="24"/>
          <w:szCs w:val="24"/>
        </w:rPr>
        <w:t>in the previous year</w:t>
      </w:r>
      <w:r w:rsidR="00626C3A">
        <w:rPr>
          <w:rFonts w:cs="Tahoma"/>
          <w:noProof/>
          <w:sz w:val="24"/>
          <w:szCs w:val="24"/>
        </w:rPr>
        <w:t xml:space="preserve">.  </w:t>
      </w:r>
      <w:r w:rsidR="005E158D">
        <w:rPr>
          <w:rFonts w:cs="Tahoma"/>
          <w:noProof/>
          <w:sz w:val="24"/>
          <w:szCs w:val="24"/>
        </w:rPr>
        <w:t xml:space="preserve">  </w:t>
      </w:r>
      <w:r w:rsidR="00AE5ED6">
        <w:rPr>
          <w:rFonts w:cs="Tahoma"/>
          <w:noProof/>
          <w:sz w:val="24"/>
          <w:szCs w:val="24"/>
        </w:rPr>
        <w:t>Certainly,</w:t>
      </w:r>
      <w:r w:rsidR="00BD6A03">
        <w:rPr>
          <w:rFonts w:cs="Tahoma"/>
          <w:noProof/>
          <w:sz w:val="24"/>
          <w:szCs w:val="24"/>
        </w:rPr>
        <w:t xml:space="preserve"> the pace of local job growth </w:t>
      </w:r>
      <w:r w:rsidR="004D22D5">
        <w:rPr>
          <w:rFonts w:cs="Tahoma"/>
          <w:noProof/>
          <w:sz w:val="24"/>
          <w:szCs w:val="24"/>
        </w:rPr>
        <w:t>is being impacted by the</w:t>
      </w:r>
      <w:r w:rsidR="00BD6A03">
        <w:rPr>
          <w:rFonts w:cs="Tahoma"/>
          <w:noProof/>
          <w:sz w:val="24"/>
          <w:szCs w:val="24"/>
        </w:rPr>
        <w:t xml:space="preserve"> difficulty in </w:t>
      </w:r>
      <w:r w:rsidR="00AE5ED6">
        <w:rPr>
          <w:rFonts w:cs="Tahoma"/>
          <w:noProof/>
          <w:sz w:val="24"/>
          <w:szCs w:val="24"/>
        </w:rPr>
        <w:t xml:space="preserve">finding relatively mobile </w:t>
      </w:r>
      <w:r w:rsidR="00BD6A03">
        <w:rPr>
          <w:rFonts w:cs="Tahoma"/>
          <w:noProof/>
          <w:sz w:val="24"/>
          <w:szCs w:val="24"/>
        </w:rPr>
        <w:t xml:space="preserve">skilled workers that are attracted </w:t>
      </w:r>
      <w:r w:rsidR="00AE5ED6">
        <w:rPr>
          <w:rFonts w:cs="Tahoma"/>
          <w:noProof/>
          <w:sz w:val="24"/>
          <w:szCs w:val="24"/>
        </w:rPr>
        <w:t xml:space="preserve">by job opportunities in </w:t>
      </w:r>
      <w:r w:rsidR="004D22D5">
        <w:rPr>
          <w:rFonts w:cs="Tahoma"/>
          <w:noProof/>
          <w:sz w:val="24"/>
          <w:szCs w:val="24"/>
        </w:rPr>
        <w:t>the gulf coast region</w:t>
      </w:r>
      <w:r w:rsidR="00AE5ED6">
        <w:rPr>
          <w:rFonts w:cs="Tahoma"/>
          <w:noProof/>
          <w:sz w:val="24"/>
          <w:szCs w:val="24"/>
        </w:rPr>
        <w:t xml:space="preserve"> that </w:t>
      </w:r>
      <w:r w:rsidR="004D22D5">
        <w:rPr>
          <w:rFonts w:cs="Tahoma"/>
          <w:noProof/>
          <w:sz w:val="24"/>
          <w:szCs w:val="24"/>
        </w:rPr>
        <w:t>is</w:t>
      </w:r>
      <w:r w:rsidR="00AE5ED6">
        <w:rPr>
          <w:rFonts w:cs="Tahoma"/>
          <w:noProof/>
          <w:sz w:val="24"/>
          <w:szCs w:val="24"/>
        </w:rPr>
        <w:t xml:space="preserve"> recovering </w:t>
      </w:r>
      <w:r w:rsidR="00BD6A03">
        <w:rPr>
          <w:rFonts w:cs="Tahoma"/>
          <w:noProof/>
          <w:sz w:val="24"/>
          <w:szCs w:val="24"/>
        </w:rPr>
        <w:t xml:space="preserve">from </w:t>
      </w:r>
      <w:r w:rsidR="004D22D5">
        <w:rPr>
          <w:rFonts w:cs="Tahoma"/>
          <w:noProof/>
          <w:sz w:val="24"/>
          <w:szCs w:val="24"/>
        </w:rPr>
        <w:t>the</w:t>
      </w:r>
      <w:r w:rsidR="00AE5ED6">
        <w:rPr>
          <w:rFonts w:cs="Tahoma"/>
          <w:noProof/>
          <w:sz w:val="24"/>
          <w:szCs w:val="24"/>
        </w:rPr>
        <w:t xml:space="preserve"> </w:t>
      </w:r>
      <w:r w:rsidR="00BD6A03">
        <w:rPr>
          <w:rFonts w:cs="Tahoma"/>
          <w:noProof/>
          <w:sz w:val="24"/>
          <w:szCs w:val="24"/>
        </w:rPr>
        <w:t>recent hurricane.</w:t>
      </w:r>
    </w:p>
    <w:p w:rsidR="005757A7" w:rsidRPr="005E158D" w:rsidRDefault="005757A7" w:rsidP="0026286F">
      <w:pPr>
        <w:tabs>
          <w:tab w:val="left" w:pos="720"/>
        </w:tabs>
        <w:spacing w:after="0" w:line="240" w:lineRule="auto"/>
        <w:rPr>
          <w:rFonts w:cs="Tahoma"/>
          <w:noProof/>
          <w:sz w:val="16"/>
          <w:szCs w:val="16"/>
        </w:rPr>
      </w:pPr>
    </w:p>
    <w:p w:rsidR="00EA7ABC" w:rsidRPr="00F611E7" w:rsidRDefault="00EA7ABC" w:rsidP="005757A7">
      <w:pPr>
        <w:tabs>
          <w:tab w:val="left" w:pos="720"/>
        </w:tabs>
        <w:spacing w:after="0" w:line="240" w:lineRule="auto"/>
        <w:jc w:val="center"/>
        <w:rPr>
          <w:rFonts w:eastAsia="Times New Roman" w:cs="Tahoma"/>
          <w:b/>
          <w:sz w:val="24"/>
          <w:szCs w:val="24"/>
        </w:rPr>
      </w:pPr>
      <w:r w:rsidRPr="00F611E7">
        <w:rPr>
          <w:rFonts w:eastAsia="Times New Roman" w:cs="Tahoma"/>
          <w:b/>
          <w:sz w:val="24"/>
          <w:szCs w:val="24"/>
        </w:rPr>
        <w:t>Table 2</w:t>
      </w:r>
    </w:p>
    <w:p w:rsidR="00EA7ABC" w:rsidRPr="00F611E7" w:rsidRDefault="00EA7ABC" w:rsidP="004D22D5">
      <w:pPr>
        <w:tabs>
          <w:tab w:val="left" w:pos="720"/>
        </w:tabs>
        <w:spacing w:after="0" w:line="240" w:lineRule="auto"/>
        <w:jc w:val="center"/>
        <w:rPr>
          <w:rFonts w:eastAsia="Times New Roman" w:cs="Tahoma"/>
          <w:b/>
          <w:sz w:val="24"/>
          <w:szCs w:val="24"/>
        </w:rPr>
      </w:pPr>
      <w:r w:rsidRPr="00F611E7">
        <w:rPr>
          <w:rFonts w:eastAsia="Times New Roman" w:cs="Tahoma"/>
          <w:b/>
          <w:sz w:val="24"/>
          <w:szCs w:val="24"/>
        </w:rPr>
        <w:t>Annual Percent Change in Waco MSA Quarterly Labor Force,</w:t>
      </w:r>
    </w:p>
    <w:p w:rsidR="00EA7ABC" w:rsidRPr="007C19B3" w:rsidRDefault="00EA7ABC" w:rsidP="004D22D5">
      <w:pPr>
        <w:tabs>
          <w:tab w:val="left" w:pos="720"/>
        </w:tabs>
        <w:spacing w:after="0" w:line="240" w:lineRule="auto"/>
        <w:jc w:val="center"/>
        <w:rPr>
          <w:rFonts w:cs="Tahoma"/>
          <w:noProof/>
          <w:sz w:val="24"/>
          <w:szCs w:val="24"/>
        </w:rPr>
      </w:pPr>
      <w:r w:rsidRPr="00F611E7">
        <w:rPr>
          <w:rFonts w:eastAsia="Times New Roman" w:cs="Tahoma"/>
          <w:b/>
          <w:sz w:val="24"/>
          <w:szCs w:val="24"/>
        </w:rPr>
        <w:t>Employment, and Unemployment Rate</w:t>
      </w:r>
    </w:p>
    <w:p w:rsidR="00EA7ABC" w:rsidRPr="00F611E7" w:rsidRDefault="00EA7ABC" w:rsidP="004D22D5">
      <w:pPr>
        <w:tabs>
          <w:tab w:val="left" w:pos="720"/>
        </w:tabs>
        <w:spacing w:after="0" w:line="300" w:lineRule="auto"/>
        <w:rPr>
          <w:rFonts w:cs="Tahoma"/>
          <w:noProof/>
          <w:sz w:val="16"/>
          <w:szCs w:val="16"/>
        </w:rPr>
      </w:pPr>
    </w:p>
    <w:tbl>
      <w:tblPr>
        <w:tblW w:w="9350" w:type="dxa"/>
        <w:tblInd w:w="-10" w:type="dxa"/>
        <w:tblLook w:val="04A0" w:firstRow="1" w:lastRow="0" w:firstColumn="1" w:lastColumn="0" w:noHBand="0" w:noVBand="1"/>
      </w:tblPr>
      <w:tblGrid>
        <w:gridCol w:w="2160"/>
        <w:gridCol w:w="2070"/>
        <w:gridCol w:w="530"/>
        <w:gridCol w:w="2250"/>
        <w:gridCol w:w="2340"/>
      </w:tblGrid>
      <w:tr w:rsidR="00F611E7" w:rsidRPr="007C19B3" w:rsidTr="005E158D">
        <w:trPr>
          <w:trHeight w:val="277"/>
        </w:trPr>
        <w:tc>
          <w:tcPr>
            <w:tcW w:w="2160" w:type="dxa"/>
            <w:vMerge w:val="restart"/>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rsidR="00F611E7" w:rsidRPr="007C19B3" w:rsidRDefault="00F611E7" w:rsidP="00CA52D1">
            <w:pPr>
              <w:spacing w:after="0" w:line="240" w:lineRule="auto"/>
              <w:jc w:val="both"/>
              <w:rPr>
                <w:rFonts w:eastAsia="Times New Roman" w:cs="Tahoma"/>
                <w:color w:val="000000"/>
                <w:sz w:val="24"/>
                <w:szCs w:val="24"/>
              </w:rPr>
            </w:pPr>
            <w:r w:rsidRPr="007C19B3">
              <w:rPr>
                <w:rFonts w:eastAsia="Times New Roman" w:cs="Tahoma"/>
                <w:color w:val="000000"/>
                <w:sz w:val="24"/>
                <w:szCs w:val="24"/>
              </w:rPr>
              <w:t xml:space="preserve">    Year. Quarter</w:t>
            </w:r>
          </w:p>
        </w:tc>
        <w:tc>
          <w:tcPr>
            <w:tcW w:w="2070" w:type="dxa"/>
            <w:tcBorders>
              <w:top w:val="single" w:sz="8" w:space="0" w:color="BFBFBF"/>
              <w:left w:val="nil"/>
              <w:bottom w:val="single" w:sz="8" w:space="0" w:color="BFBFBF"/>
              <w:right w:val="single" w:sz="8" w:space="0" w:color="BFBFBF"/>
            </w:tcBorders>
            <w:shd w:val="clear" w:color="auto" w:fill="auto"/>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Labor Force</w:t>
            </w:r>
          </w:p>
        </w:tc>
        <w:tc>
          <w:tcPr>
            <w:tcW w:w="530" w:type="dxa"/>
            <w:tcBorders>
              <w:top w:val="single" w:sz="8" w:space="0" w:color="BFBFBF"/>
              <w:left w:val="nil"/>
              <w:bottom w:val="single" w:sz="8" w:space="0" w:color="BFBFBF"/>
              <w:right w:val="nil"/>
            </w:tcBorders>
          </w:tcPr>
          <w:p w:rsidR="00F611E7" w:rsidRPr="007C19B3" w:rsidRDefault="00F611E7" w:rsidP="00CA52D1">
            <w:pPr>
              <w:spacing w:after="0" w:line="240" w:lineRule="auto"/>
              <w:jc w:val="center"/>
              <w:rPr>
                <w:rFonts w:eastAsia="Times New Roman" w:cs="Tahoma"/>
                <w:color w:val="000000"/>
                <w:sz w:val="24"/>
                <w:szCs w:val="24"/>
              </w:rPr>
            </w:pPr>
          </w:p>
        </w:tc>
        <w:tc>
          <w:tcPr>
            <w:tcW w:w="2250" w:type="dxa"/>
            <w:tcBorders>
              <w:top w:val="single" w:sz="8" w:space="0" w:color="BFBFBF"/>
              <w:left w:val="nil"/>
              <w:bottom w:val="single" w:sz="8" w:space="0" w:color="BFBFBF"/>
              <w:right w:val="single" w:sz="8" w:space="0" w:color="BFBFBF"/>
            </w:tcBorders>
            <w:shd w:val="clear" w:color="auto" w:fill="auto"/>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Employment</w:t>
            </w:r>
          </w:p>
        </w:tc>
        <w:tc>
          <w:tcPr>
            <w:tcW w:w="2340" w:type="dxa"/>
            <w:tcBorders>
              <w:top w:val="single" w:sz="8" w:space="0" w:color="BFBFBF"/>
              <w:left w:val="nil"/>
              <w:bottom w:val="single" w:sz="8" w:space="0" w:color="BFBFBF"/>
              <w:right w:val="single" w:sz="8" w:space="0" w:color="BFBFBF"/>
            </w:tcBorders>
            <w:shd w:val="clear" w:color="auto" w:fill="auto"/>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 xml:space="preserve">Unemployment </w:t>
            </w:r>
          </w:p>
        </w:tc>
      </w:tr>
      <w:tr w:rsidR="00F611E7" w:rsidRPr="007C19B3" w:rsidTr="005E158D">
        <w:trPr>
          <w:trHeight w:val="322"/>
        </w:trPr>
        <w:tc>
          <w:tcPr>
            <w:tcW w:w="2160" w:type="dxa"/>
            <w:vMerge/>
            <w:tcBorders>
              <w:top w:val="single" w:sz="8" w:space="0" w:color="BFBFBF"/>
              <w:left w:val="single" w:sz="8" w:space="0" w:color="BFBFBF"/>
              <w:bottom w:val="single" w:sz="8" w:space="0" w:color="BFBFBF"/>
              <w:right w:val="single" w:sz="8" w:space="0" w:color="BFBFBF"/>
            </w:tcBorders>
            <w:vAlign w:val="center"/>
            <w:hideMark/>
          </w:tcPr>
          <w:p w:rsidR="00F611E7" w:rsidRPr="007C19B3" w:rsidRDefault="00F611E7" w:rsidP="00CA52D1">
            <w:pPr>
              <w:spacing w:after="0" w:line="240" w:lineRule="auto"/>
              <w:rPr>
                <w:rFonts w:eastAsia="Times New Roman" w:cs="Tahoma"/>
                <w:color w:val="000000"/>
                <w:sz w:val="24"/>
                <w:szCs w:val="24"/>
              </w:rPr>
            </w:pPr>
          </w:p>
        </w:tc>
        <w:tc>
          <w:tcPr>
            <w:tcW w:w="2070" w:type="dxa"/>
            <w:tcBorders>
              <w:top w:val="nil"/>
              <w:left w:val="nil"/>
              <w:bottom w:val="single" w:sz="8" w:space="0" w:color="BFBFBF"/>
              <w:right w:val="single" w:sz="8" w:space="0" w:color="BFBFBF"/>
            </w:tcBorders>
            <w:shd w:val="clear" w:color="000000" w:fill="FFFFFF"/>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Annual % Change</w:t>
            </w:r>
          </w:p>
        </w:tc>
        <w:tc>
          <w:tcPr>
            <w:tcW w:w="530" w:type="dxa"/>
            <w:tcBorders>
              <w:top w:val="nil"/>
              <w:left w:val="nil"/>
              <w:bottom w:val="single" w:sz="8" w:space="0" w:color="BFBFBF"/>
              <w:right w:val="nil"/>
            </w:tcBorders>
            <w:shd w:val="clear" w:color="000000" w:fill="FFFFFF"/>
          </w:tcPr>
          <w:p w:rsidR="00F611E7" w:rsidRPr="007C19B3" w:rsidRDefault="00F611E7" w:rsidP="00CA52D1">
            <w:pPr>
              <w:spacing w:after="0" w:line="240" w:lineRule="auto"/>
              <w:jc w:val="center"/>
              <w:rPr>
                <w:rFonts w:eastAsia="Times New Roman" w:cs="Tahoma"/>
                <w:color w:val="000000"/>
                <w:sz w:val="24"/>
                <w:szCs w:val="24"/>
              </w:rPr>
            </w:pPr>
          </w:p>
        </w:tc>
        <w:tc>
          <w:tcPr>
            <w:tcW w:w="2250" w:type="dxa"/>
            <w:tcBorders>
              <w:top w:val="nil"/>
              <w:left w:val="nil"/>
              <w:bottom w:val="single" w:sz="8" w:space="0" w:color="BFBFBF"/>
              <w:right w:val="single" w:sz="8" w:space="0" w:color="BFBFBF"/>
            </w:tcBorders>
            <w:shd w:val="clear" w:color="000000" w:fill="FFFFFF"/>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Annual % Change</w:t>
            </w:r>
          </w:p>
        </w:tc>
        <w:tc>
          <w:tcPr>
            <w:tcW w:w="2340" w:type="dxa"/>
            <w:tcBorders>
              <w:top w:val="nil"/>
              <w:left w:val="nil"/>
              <w:bottom w:val="single" w:sz="8" w:space="0" w:color="BFBFBF"/>
              <w:right w:val="single" w:sz="8" w:space="0" w:color="BFBFBF"/>
            </w:tcBorders>
            <w:shd w:val="clear" w:color="000000" w:fill="FFFFFF"/>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Rate</w:t>
            </w:r>
          </w:p>
        </w:tc>
      </w:tr>
      <w:tr w:rsidR="00F611E7" w:rsidRPr="007C19B3" w:rsidTr="00F611E7">
        <w:trPr>
          <w:trHeight w:val="340"/>
        </w:trPr>
        <w:tc>
          <w:tcPr>
            <w:tcW w:w="2160" w:type="dxa"/>
            <w:tcBorders>
              <w:top w:val="nil"/>
              <w:left w:val="single" w:sz="8" w:space="0" w:color="BFBFBF"/>
              <w:bottom w:val="single" w:sz="8" w:space="0" w:color="BFBFBF"/>
              <w:right w:val="nil"/>
            </w:tcBorders>
            <w:shd w:val="clear" w:color="auto" w:fill="auto"/>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2014.Q1</w:t>
            </w:r>
          </w:p>
        </w:tc>
        <w:tc>
          <w:tcPr>
            <w:tcW w:w="2070" w:type="dxa"/>
            <w:tcBorders>
              <w:top w:val="nil"/>
              <w:left w:val="single" w:sz="8" w:space="0" w:color="BFBFBF"/>
              <w:bottom w:val="single" w:sz="8" w:space="0" w:color="BFBFBF"/>
              <w:right w:val="single" w:sz="8" w:space="0" w:color="BFBFBF"/>
            </w:tcBorders>
            <w:shd w:val="clear" w:color="auto" w:fill="auto"/>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-0.3</w:t>
            </w:r>
          </w:p>
        </w:tc>
        <w:tc>
          <w:tcPr>
            <w:tcW w:w="530" w:type="dxa"/>
            <w:tcBorders>
              <w:top w:val="nil"/>
              <w:left w:val="nil"/>
              <w:bottom w:val="single" w:sz="8" w:space="0" w:color="BFBFBF"/>
              <w:right w:val="nil"/>
            </w:tcBorders>
          </w:tcPr>
          <w:p w:rsidR="00F611E7" w:rsidRPr="007C19B3" w:rsidRDefault="00F611E7" w:rsidP="00CA52D1">
            <w:pPr>
              <w:spacing w:after="0" w:line="240" w:lineRule="auto"/>
              <w:jc w:val="center"/>
              <w:rPr>
                <w:rFonts w:eastAsia="Times New Roman" w:cs="Tahoma"/>
                <w:color w:val="000000"/>
                <w:sz w:val="24"/>
                <w:szCs w:val="24"/>
              </w:rPr>
            </w:pPr>
          </w:p>
        </w:tc>
        <w:tc>
          <w:tcPr>
            <w:tcW w:w="2250" w:type="dxa"/>
            <w:tcBorders>
              <w:top w:val="nil"/>
              <w:left w:val="nil"/>
              <w:bottom w:val="single" w:sz="8" w:space="0" w:color="BFBFBF"/>
              <w:right w:val="single" w:sz="8" w:space="0" w:color="BFBFBF"/>
            </w:tcBorders>
            <w:shd w:val="clear" w:color="auto" w:fill="auto"/>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3.8</w:t>
            </w:r>
          </w:p>
        </w:tc>
        <w:tc>
          <w:tcPr>
            <w:tcW w:w="2340" w:type="dxa"/>
            <w:tcBorders>
              <w:top w:val="nil"/>
              <w:left w:val="nil"/>
              <w:bottom w:val="single" w:sz="8" w:space="0" w:color="BFBFBF"/>
              <w:right w:val="single" w:sz="8" w:space="0" w:color="BFBFBF"/>
            </w:tcBorders>
            <w:shd w:val="clear" w:color="auto" w:fill="auto"/>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5.4</w:t>
            </w:r>
          </w:p>
        </w:tc>
      </w:tr>
      <w:tr w:rsidR="00F611E7" w:rsidRPr="007C19B3" w:rsidTr="00F611E7">
        <w:trPr>
          <w:trHeight w:val="340"/>
        </w:trPr>
        <w:tc>
          <w:tcPr>
            <w:tcW w:w="2160" w:type="dxa"/>
            <w:tcBorders>
              <w:top w:val="nil"/>
              <w:left w:val="single" w:sz="8" w:space="0" w:color="BFBFBF"/>
              <w:bottom w:val="single" w:sz="8" w:space="0" w:color="BFBFBF"/>
              <w:right w:val="nil"/>
            </w:tcBorders>
            <w:shd w:val="clear" w:color="000000" w:fill="F2F2F2"/>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2014.Q2</w:t>
            </w:r>
          </w:p>
        </w:tc>
        <w:tc>
          <w:tcPr>
            <w:tcW w:w="2070" w:type="dxa"/>
            <w:tcBorders>
              <w:top w:val="nil"/>
              <w:left w:val="single" w:sz="8" w:space="0" w:color="BFBFBF"/>
              <w:bottom w:val="single" w:sz="8" w:space="0" w:color="BFBFBF"/>
              <w:right w:val="single" w:sz="8" w:space="0" w:color="BFBFBF"/>
            </w:tcBorders>
            <w:shd w:val="clear" w:color="000000" w:fill="F2F2F2"/>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-0.3</w:t>
            </w:r>
          </w:p>
        </w:tc>
        <w:tc>
          <w:tcPr>
            <w:tcW w:w="530" w:type="dxa"/>
            <w:tcBorders>
              <w:top w:val="nil"/>
              <w:left w:val="nil"/>
              <w:bottom w:val="single" w:sz="8" w:space="0" w:color="BFBFBF"/>
              <w:right w:val="nil"/>
            </w:tcBorders>
            <w:shd w:val="clear" w:color="000000" w:fill="F2F2F2"/>
          </w:tcPr>
          <w:p w:rsidR="00F611E7" w:rsidRPr="007C19B3" w:rsidRDefault="00F611E7" w:rsidP="00CA52D1">
            <w:pPr>
              <w:spacing w:after="0" w:line="240" w:lineRule="auto"/>
              <w:jc w:val="center"/>
              <w:rPr>
                <w:rFonts w:eastAsia="Times New Roman" w:cs="Tahoma"/>
                <w:color w:val="000000"/>
                <w:sz w:val="24"/>
                <w:szCs w:val="24"/>
              </w:rPr>
            </w:pPr>
          </w:p>
        </w:tc>
        <w:tc>
          <w:tcPr>
            <w:tcW w:w="2250" w:type="dxa"/>
            <w:tcBorders>
              <w:top w:val="nil"/>
              <w:left w:val="nil"/>
              <w:bottom w:val="single" w:sz="8" w:space="0" w:color="BFBFBF"/>
              <w:right w:val="single" w:sz="8" w:space="0" w:color="BFBFBF"/>
            </w:tcBorders>
            <w:shd w:val="clear" w:color="000000" w:fill="F2F2F2"/>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4.7</w:t>
            </w:r>
          </w:p>
        </w:tc>
        <w:tc>
          <w:tcPr>
            <w:tcW w:w="2340" w:type="dxa"/>
            <w:tcBorders>
              <w:top w:val="nil"/>
              <w:left w:val="nil"/>
              <w:bottom w:val="single" w:sz="8" w:space="0" w:color="BFBFBF"/>
              <w:right w:val="single" w:sz="8" w:space="0" w:color="BFBFBF"/>
            </w:tcBorders>
            <w:shd w:val="clear" w:color="000000" w:fill="F2F2F2"/>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5.2</w:t>
            </w:r>
          </w:p>
        </w:tc>
      </w:tr>
      <w:tr w:rsidR="00F611E7" w:rsidRPr="007C19B3" w:rsidTr="00F611E7">
        <w:trPr>
          <w:trHeight w:val="340"/>
        </w:trPr>
        <w:tc>
          <w:tcPr>
            <w:tcW w:w="2160" w:type="dxa"/>
            <w:tcBorders>
              <w:top w:val="nil"/>
              <w:left w:val="single" w:sz="8" w:space="0" w:color="BFBFBF"/>
              <w:bottom w:val="single" w:sz="8" w:space="0" w:color="BFBFBF"/>
              <w:right w:val="nil"/>
            </w:tcBorders>
            <w:shd w:val="clear" w:color="auto" w:fill="auto"/>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2014.Q3</w:t>
            </w:r>
          </w:p>
        </w:tc>
        <w:tc>
          <w:tcPr>
            <w:tcW w:w="2070" w:type="dxa"/>
            <w:tcBorders>
              <w:top w:val="nil"/>
              <w:left w:val="single" w:sz="8" w:space="0" w:color="BFBFBF"/>
              <w:bottom w:val="single" w:sz="8" w:space="0" w:color="BFBFBF"/>
              <w:right w:val="single" w:sz="8" w:space="0" w:color="BFBFBF"/>
            </w:tcBorders>
            <w:shd w:val="clear" w:color="auto" w:fill="auto"/>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-0.9</w:t>
            </w:r>
          </w:p>
        </w:tc>
        <w:tc>
          <w:tcPr>
            <w:tcW w:w="530" w:type="dxa"/>
            <w:tcBorders>
              <w:top w:val="nil"/>
              <w:left w:val="nil"/>
              <w:bottom w:val="single" w:sz="8" w:space="0" w:color="BFBFBF"/>
              <w:right w:val="nil"/>
            </w:tcBorders>
          </w:tcPr>
          <w:p w:rsidR="00F611E7" w:rsidRPr="007C19B3" w:rsidRDefault="00F611E7" w:rsidP="00CA52D1">
            <w:pPr>
              <w:spacing w:after="0" w:line="240" w:lineRule="auto"/>
              <w:jc w:val="center"/>
              <w:rPr>
                <w:rFonts w:eastAsia="Times New Roman" w:cs="Tahoma"/>
                <w:color w:val="000000"/>
                <w:sz w:val="24"/>
                <w:szCs w:val="24"/>
              </w:rPr>
            </w:pPr>
          </w:p>
        </w:tc>
        <w:tc>
          <w:tcPr>
            <w:tcW w:w="2250" w:type="dxa"/>
            <w:tcBorders>
              <w:top w:val="nil"/>
              <w:left w:val="nil"/>
              <w:bottom w:val="single" w:sz="8" w:space="0" w:color="BFBFBF"/>
              <w:right w:val="single" w:sz="8" w:space="0" w:color="BFBFBF"/>
            </w:tcBorders>
            <w:shd w:val="clear" w:color="auto" w:fill="auto"/>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3.6</w:t>
            </w:r>
          </w:p>
        </w:tc>
        <w:tc>
          <w:tcPr>
            <w:tcW w:w="2340" w:type="dxa"/>
            <w:tcBorders>
              <w:top w:val="nil"/>
              <w:left w:val="nil"/>
              <w:bottom w:val="single" w:sz="8" w:space="0" w:color="BFBFBF"/>
              <w:right w:val="single" w:sz="8" w:space="0" w:color="BFBFBF"/>
            </w:tcBorders>
            <w:shd w:val="clear" w:color="auto" w:fill="auto"/>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4.9</w:t>
            </w:r>
          </w:p>
        </w:tc>
      </w:tr>
      <w:tr w:rsidR="00F611E7" w:rsidRPr="007C19B3" w:rsidTr="00F611E7">
        <w:trPr>
          <w:trHeight w:val="340"/>
        </w:trPr>
        <w:tc>
          <w:tcPr>
            <w:tcW w:w="2160" w:type="dxa"/>
            <w:tcBorders>
              <w:top w:val="nil"/>
              <w:left w:val="single" w:sz="8" w:space="0" w:color="BFBFBF"/>
              <w:bottom w:val="single" w:sz="8" w:space="0" w:color="BFBFBF"/>
              <w:right w:val="nil"/>
            </w:tcBorders>
            <w:shd w:val="clear" w:color="000000" w:fill="F2F2F2"/>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2014.Q4</w:t>
            </w:r>
          </w:p>
        </w:tc>
        <w:tc>
          <w:tcPr>
            <w:tcW w:w="2070" w:type="dxa"/>
            <w:tcBorders>
              <w:top w:val="nil"/>
              <w:left w:val="single" w:sz="8" w:space="0" w:color="BFBFBF"/>
              <w:bottom w:val="single" w:sz="8" w:space="0" w:color="BFBFBF"/>
              <w:right w:val="single" w:sz="8" w:space="0" w:color="BFBFBF"/>
            </w:tcBorders>
            <w:shd w:val="clear" w:color="000000" w:fill="F2F2F2"/>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2.7</w:t>
            </w:r>
          </w:p>
        </w:tc>
        <w:tc>
          <w:tcPr>
            <w:tcW w:w="530" w:type="dxa"/>
            <w:tcBorders>
              <w:top w:val="nil"/>
              <w:left w:val="nil"/>
              <w:bottom w:val="single" w:sz="8" w:space="0" w:color="BFBFBF"/>
              <w:right w:val="nil"/>
            </w:tcBorders>
            <w:shd w:val="clear" w:color="000000" w:fill="F2F2F2"/>
          </w:tcPr>
          <w:p w:rsidR="00F611E7" w:rsidRPr="007C19B3" w:rsidRDefault="00F611E7" w:rsidP="00CA52D1">
            <w:pPr>
              <w:spacing w:after="0" w:line="240" w:lineRule="auto"/>
              <w:jc w:val="center"/>
              <w:rPr>
                <w:rFonts w:eastAsia="Times New Roman" w:cs="Tahoma"/>
                <w:color w:val="000000"/>
                <w:sz w:val="24"/>
                <w:szCs w:val="24"/>
              </w:rPr>
            </w:pPr>
          </w:p>
        </w:tc>
        <w:tc>
          <w:tcPr>
            <w:tcW w:w="2250" w:type="dxa"/>
            <w:tcBorders>
              <w:top w:val="nil"/>
              <w:left w:val="nil"/>
              <w:bottom w:val="single" w:sz="8" w:space="0" w:color="BFBFBF"/>
              <w:right w:val="single" w:sz="8" w:space="0" w:color="BFBFBF"/>
            </w:tcBorders>
            <w:shd w:val="clear" w:color="000000" w:fill="F2F2F2"/>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8.0</w:t>
            </w:r>
          </w:p>
        </w:tc>
        <w:tc>
          <w:tcPr>
            <w:tcW w:w="2340" w:type="dxa"/>
            <w:tcBorders>
              <w:top w:val="nil"/>
              <w:left w:val="nil"/>
              <w:bottom w:val="single" w:sz="8" w:space="0" w:color="BFBFBF"/>
              <w:right w:val="single" w:sz="8" w:space="0" w:color="BFBFBF"/>
            </w:tcBorders>
            <w:shd w:val="clear" w:color="000000" w:fill="F2F2F2"/>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5.8</w:t>
            </w:r>
          </w:p>
        </w:tc>
      </w:tr>
      <w:tr w:rsidR="00F611E7" w:rsidRPr="007C19B3" w:rsidTr="00F611E7">
        <w:trPr>
          <w:trHeight w:val="340"/>
        </w:trPr>
        <w:tc>
          <w:tcPr>
            <w:tcW w:w="2160" w:type="dxa"/>
            <w:tcBorders>
              <w:top w:val="nil"/>
              <w:left w:val="single" w:sz="8" w:space="0" w:color="BFBFBF"/>
              <w:bottom w:val="single" w:sz="8" w:space="0" w:color="BFBFBF"/>
              <w:right w:val="nil"/>
            </w:tcBorders>
            <w:shd w:val="clear" w:color="auto" w:fill="auto"/>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2015.Q1</w:t>
            </w:r>
          </w:p>
        </w:tc>
        <w:tc>
          <w:tcPr>
            <w:tcW w:w="2070" w:type="dxa"/>
            <w:tcBorders>
              <w:top w:val="nil"/>
              <w:left w:val="single" w:sz="8" w:space="0" w:color="BFBFBF"/>
              <w:bottom w:val="single" w:sz="8" w:space="0" w:color="BFBFBF"/>
              <w:right w:val="single" w:sz="8" w:space="0" w:color="BFBFBF"/>
            </w:tcBorders>
            <w:shd w:val="clear" w:color="auto" w:fill="auto"/>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-1.2</w:t>
            </w:r>
          </w:p>
        </w:tc>
        <w:tc>
          <w:tcPr>
            <w:tcW w:w="530" w:type="dxa"/>
            <w:tcBorders>
              <w:top w:val="nil"/>
              <w:left w:val="nil"/>
              <w:bottom w:val="single" w:sz="8" w:space="0" w:color="BFBFBF"/>
              <w:right w:val="nil"/>
            </w:tcBorders>
          </w:tcPr>
          <w:p w:rsidR="00F611E7" w:rsidRPr="007C19B3" w:rsidRDefault="00F611E7" w:rsidP="00CA52D1">
            <w:pPr>
              <w:spacing w:after="0" w:line="240" w:lineRule="auto"/>
              <w:jc w:val="center"/>
              <w:rPr>
                <w:rFonts w:eastAsia="Times New Roman" w:cs="Tahoma"/>
                <w:color w:val="000000"/>
                <w:sz w:val="24"/>
                <w:szCs w:val="24"/>
              </w:rPr>
            </w:pPr>
          </w:p>
        </w:tc>
        <w:tc>
          <w:tcPr>
            <w:tcW w:w="2250" w:type="dxa"/>
            <w:tcBorders>
              <w:top w:val="nil"/>
              <w:left w:val="nil"/>
              <w:bottom w:val="single" w:sz="8" w:space="0" w:color="BFBFBF"/>
              <w:right w:val="single" w:sz="8" w:space="0" w:color="BFBFBF"/>
            </w:tcBorders>
            <w:shd w:val="clear" w:color="auto" w:fill="auto"/>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3.8</w:t>
            </w:r>
          </w:p>
        </w:tc>
        <w:tc>
          <w:tcPr>
            <w:tcW w:w="2340" w:type="dxa"/>
            <w:tcBorders>
              <w:top w:val="nil"/>
              <w:left w:val="nil"/>
              <w:bottom w:val="single" w:sz="8" w:space="0" w:color="BFBFBF"/>
              <w:right w:val="single" w:sz="8" w:space="0" w:color="BFBFBF"/>
            </w:tcBorders>
            <w:shd w:val="clear" w:color="auto" w:fill="auto"/>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4.0</w:t>
            </w:r>
          </w:p>
        </w:tc>
      </w:tr>
      <w:tr w:rsidR="00F611E7" w:rsidRPr="007C19B3" w:rsidTr="00F611E7">
        <w:trPr>
          <w:trHeight w:val="340"/>
        </w:trPr>
        <w:tc>
          <w:tcPr>
            <w:tcW w:w="2160" w:type="dxa"/>
            <w:tcBorders>
              <w:top w:val="nil"/>
              <w:left w:val="single" w:sz="8" w:space="0" w:color="BFBFBF"/>
              <w:bottom w:val="single" w:sz="8" w:space="0" w:color="BFBFBF"/>
              <w:right w:val="nil"/>
            </w:tcBorders>
            <w:shd w:val="clear" w:color="000000" w:fill="F2F2F2"/>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2015.Q2</w:t>
            </w:r>
          </w:p>
        </w:tc>
        <w:tc>
          <w:tcPr>
            <w:tcW w:w="2070" w:type="dxa"/>
            <w:tcBorders>
              <w:top w:val="nil"/>
              <w:left w:val="single" w:sz="8" w:space="0" w:color="BFBFBF"/>
              <w:bottom w:val="single" w:sz="8" w:space="0" w:color="BFBFBF"/>
              <w:right w:val="single" w:sz="8" w:space="0" w:color="BFBFBF"/>
            </w:tcBorders>
            <w:shd w:val="clear" w:color="000000" w:fill="F2F2F2"/>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-4.1</w:t>
            </w:r>
          </w:p>
        </w:tc>
        <w:tc>
          <w:tcPr>
            <w:tcW w:w="530" w:type="dxa"/>
            <w:tcBorders>
              <w:top w:val="nil"/>
              <w:left w:val="nil"/>
              <w:bottom w:val="single" w:sz="8" w:space="0" w:color="BFBFBF"/>
              <w:right w:val="nil"/>
            </w:tcBorders>
            <w:shd w:val="clear" w:color="000000" w:fill="F2F2F2"/>
          </w:tcPr>
          <w:p w:rsidR="00F611E7" w:rsidRPr="007C19B3" w:rsidRDefault="00F611E7" w:rsidP="00CA52D1">
            <w:pPr>
              <w:spacing w:after="0" w:line="240" w:lineRule="auto"/>
              <w:jc w:val="center"/>
              <w:rPr>
                <w:rFonts w:eastAsia="Times New Roman" w:cs="Tahoma"/>
                <w:color w:val="000000"/>
                <w:sz w:val="24"/>
                <w:szCs w:val="24"/>
              </w:rPr>
            </w:pPr>
          </w:p>
        </w:tc>
        <w:tc>
          <w:tcPr>
            <w:tcW w:w="2250" w:type="dxa"/>
            <w:tcBorders>
              <w:top w:val="nil"/>
              <w:left w:val="nil"/>
              <w:bottom w:val="single" w:sz="8" w:space="0" w:color="BFBFBF"/>
              <w:right w:val="single" w:sz="8" w:space="0" w:color="BFBFBF"/>
            </w:tcBorders>
            <w:shd w:val="clear" w:color="000000" w:fill="F2F2F2"/>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0.4</w:t>
            </w:r>
          </w:p>
        </w:tc>
        <w:tc>
          <w:tcPr>
            <w:tcW w:w="2340" w:type="dxa"/>
            <w:tcBorders>
              <w:top w:val="nil"/>
              <w:left w:val="nil"/>
              <w:bottom w:val="single" w:sz="8" w:space="0" w:color="BFBFBF"/>
              <w:right w:val="single" w:sz="8" w:space="0" w:color="BFBFBF"/>
            </w:tcBorders>
            <w:shd w:val="clear" w:color="000000" w:fill="F2F2F2"/>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4.1</w:t>
            </w:r>
          </w:p>
        </w:tc>
      </w:tr>
      <w:tr w:rsidR="00F611E7" w:rsidRPr="007C19B3" w:rsidTr="00F611E7">
        <w:trPr>
          <w:trHeight w:val="340"/>
        </w:trPr>
        <w:tc>
          <w:tcPr>
            <w:tcW w:w="2160" w:type="dxa"/>
            <w:tcBorders>
              <w:top w:val="nil"/>
              <w:left w:val="single" w:sz="8" w:space="0" w:color="BFBFBF"/>
              <w:bottom w:val="single" w:sz="8" w:space="0" w:color="BFBFBF"/>
              <w:right w:val="nil"/>
            </w:tcBorders>
            <w:shd w:val="clear" w:color="auto" w:fill="auto"/>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2015.Q3</w:t>
            </w:r>
          </w:p>
        </w:tc>
        <w:tc>
          <w:tcPr>
            <w:tcW w:w="2070" w:type="dxa"/>
            <w:tcBorders>
              <w:top w:val="nil"/>
              <w:left w:val="single" w:sz="8" w:space="0" w:color="BFBFBF"/>
              <w:bottom w:val="single" w:sz="8" w:space="0" w:color="BFBFBF"/>
              <w:right w:val="single" w:sz="8" w:space="0" w:color="BFBFBF"/>
            </w:tcBorders>
            <w:shd w:val="clear" w:color="auto" w:fill="auto"/>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-1.1</w:t>
            </w:r>
          </w:p>
        </w:tc>
        <w:tc>
          <w:tcPr>
            <w:tcW w:w="530" w:type="dxa"/>
            <w:tcBorders>
              <w:top w:val="nil"/>
              <w:left w:val="nil"/>
              <w:bottom w:val="single" w:sz="8" w:space="0" w:color="BFBFBF"/>
              <w:right w:val="nil"/>
            </w:tcBorders>
          </w:tcPr>
          <w:p w:rsidR="00F611E7" w:rsidRPr="007C19B3" w:rsidRDefault="00F611E7" w:rsidP="00CA52D1">
            <w:pPr>
              <w:spacing w:after="0" w:line="240" w:lineRule="auto"/>
              <w:jc w:val="center"/>
              <w:rPr>
                <w:rFonts w:eastAsia="Times New Roman" w:cs="Tahoma"/>
                <w:color w:val="000000"/>
                <w:sz w:val="24"/>
                <w:szCs w:val="24"/>
              </w:rPr>
            </w:pPr>
          </w:p>
        </w:tc>
        <w:tc>
          <w:tcPr>
            <w:tcW w:w="2250" w:type="dxa"/>
            <w:tcBorders>
              <w:top w:val="nil"/>
              <w:left w:val="nil"/>
              <w:bottom w:val="single" w:sz="8" w:space="0" w:color="BFBFBF"/>
              <w:right w:val="single" w:sz="8" w:space="0" w:color="BFBFBF"/>
            </w:tcBorders>
            <w:shd w:val="clear" w:color="auto" w:fill="auto"/>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-0.6</w:t>
            </w:r>
          </w:p>
        </w:tc>
        <w:tc>
          <w:tcPr>
            <w:tcW w:w="2340" w:type="dxa"/>
            <w:tcBorders>
              <w:top w:val="nil"/>
              <w:left w:val="nil"/>
              <w:bottom w:val="single" w:sz="8" w:space="0" w:color="BFBFBF"/>
              <w:right w:val="single" w:sz="8" w:space="0" w:color="BFBFBF"/>
            </w:tcBorders>
            <w:shd w:val="clear" w:color="auto" w:fill="auto"/>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5.4</w:t>
            </w:r>
          </w:p>
        </w:tc>
      </w:tr>
      <w:tr w:rsidR="00F611E7" w:rsidRPr="007C19B3" w:rsidTr="00F611E7">
        <w:trPr>
          <w:trHeight w:val="340"/>
        </w:trPr>
        <w:tc>
          <w:tcPr>
            <w:tcW w:w="2160" w:type="dxa"/>
            <w:tcBorders>
              <w:top w:val="nil"/>
              <w:left w:val="single" w:sz="8" w:space="0" w:color="BFBFBF"/>
              <w:bottom w:val="single" w:sz="8" w:space="0" w:color="BFBFBF"/>
              <w:right w:val="nil"/>
            </w:tcBorders>
            <w:shd w:val="clear" w:color="000000" w:fill="F2F2F2"/>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2015.Q4</w:t>
            </w:r>
          </w:p>
        </w:tc>
        <w:tc>
          <w:tcPr>
            <w:tcW w:w="2070" w:type="dxa"/>
            <w:tcBorders>
              <w:top w:val="nil"/>
              <w:left w:val="single" w:sz="8" w:space="0" w:color="BFBFBF"/>
              <w:bottom w:val="single" w:sz="8" w:space="0" w:color="BFBFBF"/>
              <w:right w:val="single" w:sz="8" w:space="0" w:color="BFBFBF"/>
            </w:tcBorders>
            <w:shd w:val="clear" w:color="000000" w:fill="F2F2F2"/>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-0.5</w:t>
            </w:r>
          </w:p>
        </w:tc>
        <w:tc>
          <w:tcPr>
            <w:tcW w:w="530" w:type="dxa"/>
            <w:tcBorders>
              <w:top w:val="nil"/>
              <w:left w:val="nil"/>
              <w:bottom w:val="single" w:sz="8" w:space="0" w:color="BFBFBF"/>
              <w:right w:val="nil"/>
            </w:tcBorders>
            <w:shd w:val="clear" w:color="000000" w:fill="F2F2F2"/>
          </w:tcPr>
          <w:p w:rsidR="00F611E7" w:rsidRPr="007C19B3" w:rsidRDefault="00F611E7" w:rsidP="00CA52D1">
            <w:pPr>
              <w:spacing w:after="0" w:line="240" w:lineRule="auto"/>
              <w:jc w:val="center"/>
              <w:rPr>
                <w:rFonts w:eastAsia="Times New Roman" w:cs="Tahoma"/>
                <w:color w:val="000000"/>
                <w:sz w:val="24"/>
                <w:szCs w:val="24"/>
              </w:rPr>
            </w:pPr>
          </w:p>
        </w:tc>
        <w:tc>
          <w:tcPr>
            <w:tcW w:w="2250" w:type="dxa"/>
            <w:tcBorders>
              <w:top w:val="nil"/>
              <w:left w:val="nil"/>
              <w:bottom w:val="single" w:sz="8" w:space="0" w:color="BFBFBF"/>
              <w:right w:val="single" w:sz="8" w:space="0" w:color="BFBFBF"/>
            </w:tcBorders>
            <w:shd w:val="clear" w:color="000000" w:fill="F2F2F2"/>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1.5</w:t>
            </w:r>
          </w:p>
        </w:tc>
        <w:tc>
          <w:tcPr>
            <w:tcW w:w="2340" w:type="dxa"/>
            <w:tcBorders>
              <w:top w:val="nil"/>
              <w:left w:val="nil"/>
              <w:bottom w:val="single" w:sz="8" w:space="0" w:color="BFBFBF"/>
              <w:right w:val="single" w:sz="8" w:space="0" w:color="BFBFBF"/>
            </w:tcBorders>
            <w:shd w:val="clear" w:color="000000" w:fill="F2F2F2"/>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5.2</w:t>
            </w:r>
          </w:p>
        </w:tc>
      </w:tr>
      <w:tr w:rsidR="00F611E7" w:rsidRPr="007C19B3" w:rsidTr="00F611E7">
        <w:trPr>
          <w:trHeight w:val="340"/>
        </w:trPr>
        <w:tc>
          <w:tcPr>
            <w:tcW w:w="2160" w:type="dxa"/>
            <w:tcBorders>
              <w:top w:val="nil"/>
              <w:left w:val="single" w:sz="8" w:space="0" w:color="BFBFBF"/>
              <w:bottom w:val="single" w:sz="8" w:space="0" w:color="BFBFBF"/>
              <w:right w:val="nil"/>
            </w:tcBorders>
            <w:shd w:val="clear" w:color="auto" w:fill="auto"/>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2016.Q1</w:t>
            </w:r>
          </w:p>
        </w:tc>
        <w:tc>
          <w:tcPr>
            <w:tcW w:w="2070" w:type="dxa"/>
            <w:tcBorders>
              <w:top w:val="nil"/>
              <w:left w:val="single" w:sz="8" w:space="0" w:color="BFBFBF"/>
              <w:bottom w:val="single" w:sz="8" w:space="0" w:color="BFBFBF"/>
              <w:right w:val="single" w:sz="8" w:space="0" w:color="BFBFBF"/>
            </w:tcBorders>
            <w:shd w:val="clear" w:color="auto" w:fill="auto"/>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3.9</w:t>
            </w:r>
          </w:p>
        </w:tc>
        <w:tc>
          <w:tcPr>
            <w:tcW w:w="530" w:type="dxa"/>
            <w:tcBorders>
              <w:top w:val="nil"/>
              <w:left w:val="nil"/>
              <w:bottom w:val="single" w:sz="8" w:space="0" w:color="BFBFBF"/>
              <w:right w:val="nil"/>
            </w:tcBorders>
          </w:tcPr>
          <w:p w:rsidR="00F611E7" w:rsidRPr="007C19B3" w:rsidRDefault="00F611E7" w:rsidP="00CA52D1">
            <w:pPr>
              <w:spacing w:after="0" w:line="240" w:lineRule="auto"/>
              <w:jc w:val="center"/>
              <w:rPr>
                <w:rFonts w:eastAsia="Times New Roman" w:cs="Tahoma"/>
                <w:color w:val="000000"/>
                <w:sz w:val="24"/>
                <w:szCs w:val="24"/>
              </w:rPr>
            </w:pPr>
          </w:p>
        </w:tc>
        <w:tc>
          <w:tcPr>
            <w:tcW w:w="2250" w:type="dxa"/>
            <w:tcBorders>
              <w:top w:val="nil"/>
              <w:left w:val="nil"/>
              <w:bottom w:val="single" w:sz="8" w:space="0" w:color="BFBFBF"/>
              <w:right w:val="single" w:sz="8" w:space="0" w:color="BFBFBF"/>
            </w:tcBorders>
            <w:shd w:val="clear" w:color="auto" w:fill="auto"/>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5.4</w:t>
            </w:r>
          </w:p>
        </w:tc>
        <w:tc>
          <w:tcPr>
            <w:tcW w:w="2340" w:type="dxa"/>
            <w:tcBorders>
              <w:top w:val="nil"/>
              <w:left w:val="nil"/>
              <w:bottom w:val="single" w:sz="8" w:space="0" w:color="BFBFBF"/>
              <w:right w:val="single" w:sz="8" w:space="0" w:color="BFBFBF"/>
            </w:tcBorders>
            <w:shd w:val="clear" w:color="auto" w:fill="auto"/>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3.9</w:t>
            </w:r>
          </w:p>
        </w:tc>
      </w:tr>
      <w:tr w:rsidR="00F611E7" w:rsidRPr="007C19B3" w:rsidTr="00F611E7">
        <w:trPr>
          <w:trHeight w:val="340"/>
        </w:trPr>
        <w:tc>
          <w:tcPr>
            <w:tcW w:w="2160" w:type="dxa"/>
            <w:tcBorders>
              <w:top w:val="nil"/>
              <w:left w:val="single" w:sz="8" w:space="0" w:color="BFBFBF"/>
              <w:bottom w:val="single" w:sz="8" w:space="0" w:color="BFBFBF"/>
              <w:right w:val="nil"/>
            </w:tcBorders>
            <w:shd w:val="clear" w:color="000000" w:fill="F2F2F2"/>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2016.Q2</w:t>
            </w:r>
          </w:p>
        </w:tc>
        <w:tc>
          <w:tcPr>
            <w:tcW w:w="2070" w:type="dxa"/>
            <w:tcBorders>
              <w:top w:val="nil"/>
              <w:left w:val="single" w:sz="8" w:space="0" w:color="BFBFBF"/>
              <w:bottom w:val="single" w:sz="8" w:space="0" w:color="BFBFBF"/>
              <w:right w:val="single" w:sz="8" w:space="0" w:color="BFBFBF"/>
            </w:tcBorders>
            <w:shd w:val="clear" w:color="000000" w:fill="F2F2F2"/>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6.7</w:t>
            </w:r>
          </w:p>
        </w:tc>
        <w:tc>
          <w:tcPr>
            <w:tcW w:w="530" w:type="dxa"/>
            <w:tcBorders>
              <w:top w:val="nil"/>
              <w:left w:val="nil"/>
              <w:bottom w:val="single" w:sz="8" w:space="0" w:color="BFBFBF"/>
              <w:right w:val="nil"/>
            </w:tcBorders>
            <w:shd w:val="clear" w:color="000000" w:fill="F2F2F2"/>
          </w:tcPr>
          <w:p w:rsidR="00F611E7" w:rsidRPr="007C19B3" w:rsidRDefault="00F611E7" w:rsidP="00CA52D1">
            <w:pPr>
              <w:spacing w:after="0" w:line="240" w:lineRule="auto"/>
              <w:jc w:val="center"/>
              <w:rPr>
                <w:rFonts w:eastAsia="Times New Roman" w:cs="Tahoma"/>
                <w:color w:val="000000"/>
                <w:sz w:val="24"/>
                <w:szCs w:val="24"/>
              </w:rPr>
            </w:pPr>
          </w:p>
        </w:tc>
        <w:tc>
          <w:tcPr>
            <w:tcW w:w="2250" w:type="dxa"/>
            <w:tcBorders>
              <w:top w:val="nil"/>
              <w:left w:val="nil"/>
              <w:bottom w:val="single" w:sz="8" w:space="0" w:color="BFBFBF"/>
              <w:right w:val="single" w:sz="8" w:space="0" w:color="BFBFBF"/>
            </w:tcBorders>
            <w:shd w:val="clear" w:color="000000" w:fill="F2F2F2"/>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7.5</w:t>
            </w:r>
          </w:p>
        </w:tc>
        <w:tc>
          <w:tcPr>
            <w:tcW w:w="2340" w:type="dxa"/>
            <w:tcBorders>
              <w:top w:val="nil"/>
              <w:left w:val="nil"/>
              <w:bottom w:val="single" w:sz="8" w:space="0" w:color="BFBFBF"/>
              <w:right w:val="single" w:sz="8" w:space="0" w:color="BFBFBF"/>
            </w:tcBorders>
            <w:shd w:val="clear" w:color="000000" w:fill="F2F2F2"/>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4.0</w:t>
            </w:r>
          </w:p>
        </w:tc>
      </w:tr>
      <w:tr w:rsidR="00F611E7" w:rsidRPr="007C19B3" w:rsidTr="00F611E7">
        <w:trPr>
          <w:trHeight w:val="340"/>
        </w:trPr>
        <w:tc>
          <w:tcPr>
            <w:tcW w:w="2160" w:type="dxa"/>
            <w:tcBorders>
              <w:top w:val="nil"/>
              <w:left w:val="single" w:sz="8" w:space="0" w:color="BFBFBF"/>
              <w:bottom w:val="single" w:sz="8" w:space="0" w:color="BFBFBF"/>
              <w:right w:val="nil"/>
            </w:tcBorders>
            <w:shd w:val="clear" w:color="auto" w:fill="auto"/>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2016.Q3</w:t>
            </w:r>
          </w:p>
        </w:tc>
        <w:tc>
          <w:tcPr>
            <w:tcW w:w="2070" w:type="dxa"/>
            <w:tcBorders>
              <w:top w:val="nil"/>
              <w:left w:val="single" w:sz="8" w:space="0" w:color="BFBFBF"/>
              <w:bottom w:val="single" w:sz="8" w:space="0" w:color="BFBFBF"/>
              <w:right w:val="single" w:sz="8" w:space="0" w:color="BFBFBF"/>
            </w:tcBorders>
            <w:shd w:val="clear" w:color="auto" w:fill="auto"/>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2.3</w:t>
            </w:r>
          </w:p>
        </w:tc>
        <w:tc>
          <w:tcPr>
            <w:tcW w:w="530" w:type="dxa"/>
            <w:tcBorders>
              <w:top w:val="nil"/>
              <w:left w:val="nil"/>
              <w:bottom w:val="single" w:sz="8" w:space="0" w:color="BFBFBF"/>
              <w:right w:val="nil"/>
            </w:tcBorders>
          </w:tcPr>
          <w:p w:rsidR="00F611E7" w:rsidRPr="007C19B3" w:rsidRDefault="00F611E7" w:rsidP="00CA52D1">
            <w:pPr>
              <w:spacing w:after="0" w:line="240" w:lineRule="auto"/>
              <w:jc w:val="center"/>
              <w:rPr>
                <w:rFonts w:eastAsia="Times New Roman" w:cs="Tahoma"/>
                <w:color w:val="000000"/>
                <w:sz w:val="24"/>
                <w:szCs w:val="24"/>
              </w:rPr>
            </w:pPr>
          </w:p>
        </w:tc>
        <w:tc>
          <w:tcPr>
            <w:tcW w:w="2250" w:type="dxa"/>
            <w:tcBorders>
              <w:top w:val="nil"/>
              <w:left w:val="nil"/>
              <w:bottom w:val="single" w:sz="8" w:space="0" w:color="BFBFBF"/>
              <w:right w:val="single" w:sz="8" w:space="0" w:color="BFBFBF"/>
            </w:tcBorders>
            <w:shd w:val="clear" w:color="auto" w:fill="auto"/>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2.1</w:t>
            </w:r>
          </w:p>
        </w:tc>
        <w:tc>
          <w:tcPr>
            <w:tcW w:w="2340" w:type="dxa"/>
            <w:tcBorders>
              <w:top w:val="nil"/>
              <w:left w:val="nil"/>
              <w:bottom w:val="single" w:sz="8" w:space="0" w:color="BFBFBF"/>
              <w:right w:val="single" w:sz="8" w:space="0" w:color="BFBFBF"/>
            </w:tcBorders>
            <w:shd w:val="clear" w:color="auto" w:fill="auto"/>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4.1</w:t>
            </w:r>
          </w:p>
        </w:tc>
      </w:tr>
      <w:tr w:rsidR="00F611E7" w:rsidRPr="007C19B3" w:rsidTr="00F611E7">
        <w:trPr>
          <w:trHeight w:val="340"/>
        </w:trPr>
        <w:tc>
          <w:tcPr>
            <w:tcW w:w="2160" w:type="dxa"/>
            <w:tcBorders>
              <w:top w:val="nil"/>
              <w:left w:val="single" w:sz="8" w:space="0" w:color="BFBFBF"/>
              <w:bottom w:val="single" w:sz="8" w:space="0" w:color="BFBFBF"/>
              <w:right w:val="nil"/>
            </w:tcBorders>
            <w:shd w:val="clear" w:color="000000" w:fill="F2F2F2"/>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2016.Q4</w:t>
            </w:r>
          </w:p>
        </w:tc>
        <w:tc>
          <w:tcPr>
            <w:tcW w:w="2070" w:type="dxa"/>
            <w:tcBorders>
              <w:top w:val="nil"/>
              <w:left w:val="single" w:sz="8" w:space="0" w:color="BFBFBF"/>
              <w:bottom w:val="single" w:sz="8" w:space="0" w:color="BFBFBF"/>
              <w:right w:val="single" w:sz="8" w:space="0" w:color="BFBFBF"/>
            </w:tcBorders>
            <w:shd w:val="clear" w:color="000000" w:fill="F2F2F2"/>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2.4</w:t>
            </w:r>
          </w:p>
        </w:tc>
        <w:tc>
          <w:tcPr>
            <w:tcW w:w="530" w:type="dxa"/>
            <w:tcBorders>
              <w:top w:val="nil"/>
              <w:left w:val="nil"/>
              <w:bottom w:val="single" w:sz="8" w:space="0" w:color="BFBFBF"/>
              <w:right w:val="nil"/>
            </w:tcBorders>
            <w:shd w:val="clear" w:color="000000" w:fill="F2F2F2"/>
          </w:tcPr>
          <w:p w:rsidR="00F611E7" w:rsidRPr="007C19B3" w:rsidRDefault="00F611E7" w:rsidP="00CA52D1">
            <w:pPr>
              <w:spacing w:after="0" w:line="240" w:lineRule="auto"/>
              <w:jc w:val="center"/>
              <w:rPr>
                <w:rFonts w:eastAsia="Times New Roman" w:cs="Tahoma"/>
                <w:color w:val="000000"/>
                <w:sz w:val="24"/>
                <w:szCs w:val="24"/>
              </w:rPr>
            </w:pPr>
          </w:p>
        </w:tc>
        <w:tc>
          <w:tcPr>
            <w:tcW w:w="2250" w:type="dxa"/>
            <w:tcBorders>
              <w:top w:val="nil"/>
              <w:left w:val="nil"/>
              <w:bottom w:val="single" w:sz="8" w:space="0" w:color="BFBFBF"/>
              <w:right w:val="single" w:sz="8" w:space="0" w:color="BFBFBF"/>
            </w:tcBorders>
            <w:shd w:val="clear" w:color="000000" w:fill="F2F2F2"/>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2.4</w:t>
            </w:r>
          </w:p>
        </w:tc>
        <w:tc>
          <w:tcPr>
            <w:tcW w:w="2340" w:type="dxa"/>
            <w:tcBorders>
              <w:top w:val="nil"/>
              <w:left w:val="nil"/>
              <w:bottom w:val="single" w:sz="8" w:space="0" w:color="BFBFBF"/>
              <w:right w:val="single" w:sz="8" w:space="0" w:color="BFBFBF"/>
            </w:tcBorders>
            <w:shd w:val="clear" w:color="000000" w:fill="F2F2F2"/>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4.1</w:t>
            </w:r>
          </w:p>
        </w:tc>
      </w:tr>
      <w:tr w:rsidR="00F611E7" w:rsidRPr="007C19B3" w:rsidTr="00F611E7">
        <w:trPr>
          <w:trHeight w:val="340"/>
        </w:trPr>
        <w:tc>
          <w:tcPr>
            <w:tcW w:w="2160" w:type="dxa"/>
            <w:tcBorders>
              <w:top w:val="nil"/>
              <w:left w:val="single" w:sz="8" w:space="0" w:color="BFBFBF"/>
              <w:bottom w:val="single" w:sz="8" w:space="0" w:color="BFBFBF"/>
              <w:right w:val="nil"/>
            </w:tcBorders>
            <w:shd w:val="clear" w:color="auto" w:fill="auto"/>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2017.Q1</w:t>
            </w:r>
          </w:p>
        </w:tc>
        <w:tc>
          <w:tcPr>
            <w:tcW w:w="2070" w:type="dxa"/>
            <w:tcBorders>
              <w:top w:val="nil"/>
              <w:left w:val="single" w:sz="8" w:space="0" w:color="BFBFBF"/>
              <w:bottom w:val="single" w:sz="8" w:space="0" w:color="BFBFBF"/>
              <w:right w:val="single" w:sz="8" w:space="0" w:color="BFBFBF"/>
            </w:tcBorders>
            <w:shd w:val="clear" w:color="auto" w:fill="auto"/>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2.6</w:t>
            </w:r>
          </w:p>
        </w:tc>
        <w:tc>
          <w:tcPr>
            <w:tcW w:w="530" w:type="dxa"/>
            <w:tcBorders>
              <w:top w:val="nil"/>
              <w:left w:val="nil"/>
              <w:bottom w:val="single" w:sz="8" w:space="0" w:color="BFBFBF"/>
              <w:right w:val="nil"/>
            </w:tcBorders>
          </w:tcPr>
          <w:p w:rsidR="00F611E7" w:rsidRPr="007C19B3" w:rsidRDefault="00F611E7" w:rsidP="00CA52D1">
            <w:pPr>
              <w:spacing w:after="0" w:line="240" w:lineRule="auto"/>
              <w:jc w:val="center"/>
              <w:rPr>
                <w:rFonts w:eastAsia="Times New Roman" w:cs="Tahoma"/>
                <w:color w:val="000000"/>
                <w:sz w:val="24"/>
                <w:szCs w:val="24"/>
              </w:rPr>
            </w:pPr>
          </w:p>
        </w:tc>
        <w:tc>
          <w:tcPr>
            <w:tcW w:w="2250" w:type="dxa"/>
            <w:tcBorders>
              <w:top w:val="nil"/>
              <w:left w:val="nil"/>
              <w:bottom w:val="single" w:sz="8" w:space="0" w:color="BFBFBF"/>
              <w:right w:val="single" w:sz="8" w:space="0" w:color="BFBFBF"/>
            </w:tcBorders>
            <w:shd w:val="clear" w:color="auto" w:fill="auto"/>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2.1</w:t>
            </w:r>
          </w:p>
        </w:tc>
        <w:tc>
          <w:tcPr>
            <w:tcW w:w="2340" w:type="dxa"/>
            <w:tcBorders>
              <w:top w:val="nil"/>
              <w:left w:val="nil"/>
              <w:bottom w:val="single" w:sz="8" w:space="0" w:color="BFBFBF"/>
              <w:right w:val="single" w:sz="8" w:space="0" w:color="BFBFBF"/>
            </w:tcBorders>
            <w:shd w:val="clear" w:color="auto" w:fill="auto"/>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4.3</w:t>
            </w:r>
          </w:p>
        </w:tc>
      </w:tr>
      <w:tr w:rsidR="00F611E7" w:rsidRPr="007C19B3" w:rsidTr="00F611E7">
        <w:trPr>
          <w:trHeight w:val="340"/>
        </w:trPr>
        <w:tc>
          <w:tcPr>
            <w:tcW w:w="2160" w:type="dxa"/>
            <w:tcBorders>
              <w:top w:val="nil"/>
              <w:left w:val="single" w:sz="8" w:space="0" w:color="BFBFBF"/>
              <w:bottom w:val="single" w:sz="8" w:space="0" w:color="BFBFBF"/>
              <w:right w:val="nil"/>
            </w:tcBorders>
            <w:shd w:val="clear" w:color="auto" w:fill="F2F2F2" w:themeFill="background1" w:themeFillShade="F2"/>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2017.Q2</w:t>
            </w:r>
          </w:p>
        </w:tc>
        <w:tc>
          <w:tcPr>
            <w:tcW w:w="2070" w:type="dxa"/>
            <w:tcBorders>
              <w:top w:val="nil"/>
              <w:left w:val="single" w:sz="8" w:space="0" w:color="BFBFBF"/>
              <w:bottom w:val="single" w:sz="8" w:space="0" w:color="BFBFBF"/>
              <w:right w:val="single" w:sz="8" w:space="0" w:color="BFBFBF"/>
            </w:tcBorders>
            <w:shd w:val="clear" w:color="auto" w:fill="F2F2F2" w:themeFill="background1" w:themeFillShade="F2"/>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0.7</w:t>
            </w:r>
          </w:p>
        </w:tc>
        <w:tc>
          <w:tcPr>
            <w:tcW w:w="530" w:type="dxa"/>
            <w:tcBorders>
              <w:top w:val="nil"/>
              <w:left w:val="nil"/>
              <w:bottom w:val="single" w:sz="8" w:space="0" w:color="BFBFBF"/>
              <w:right w:val="nil"/>
            </w:tcBorders>
            <w:shd w:val="clear" w:color="auto" w:fill="F2F2F2" w:themeFill="background1" w:themeFillShade="F2"/>
          </w:tcPr>
          <w:p w:rsidR="00F611E7" w:rsidRPr="007C19B3" w:rsidRDefault="00F611E7" w:rsidP="00CA52D1">
            <w:pPr>
              <w:spacing w:after="0" w:line="240" w:lineRule="auto"/>
              <w:jc w:val="center"/>
              <w:rPr>
                <w:rFonts w:eastAsia="Times New Roman" w:cs="Tahoma"/>
                <w:color w:val="000000"/>
                <w:sz w:val="24"/>
                <w:szCs w:val="24"/>
              </w:rPr>
            </w:pPr>
          </w:p>
        </w:tc>
        <w:tc>
          <w:tcPr>
            <w:tcW w:w="2250" w:type="dxa"/>
            <w:tcBorders>
              <w:top w:val="nil"/>
              <w:left w:val="nil"/>
              <w:bottom w:val="single" w:sz="8" w:space="0" w:color="BFBFBF"/>
              <w:right w:val="single" w:sz="8" w:space="0" w:color="BFBFBF"/>
            </w:tcBorders>
            <w:shd w:val="clear" w:color="auto" w:fill="F2F2F2" w:themeFill="background1" w:themeFillShade="F2"/>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0.5</w:t>
            </w:r>
          </w:p>
        </w:tc>
        <w:tc>
          <w:tcPr>
            <w:tcW w:w="2340" w:type="dxa"/>
            <w:tcBorders>
              <w:top w:val="nil"/>
              <w:left w:val="nil"/>
              <w:bottom w:val="single" w:sz="8" w:space="0" w:color="BFBFBF"/>
              <w:right w:val="single" w:sz="8" w:space="0" w:color="BFBFBF"/>
            </w:tcBorders>
            <w:shd w:val="clear" w:color="auto" w:fill="F2F2F2" w:themeFill="background1" w:themeFillShade="F2"/>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4.3</w:t>
            </w:r>
          </w:p>
        </w:tc>
      </w:tr>
      <w:tr w:rsidR="00F611E7" w:rsidRPr="007C19B3" w:rsidTr="00F611E7">
        <w:trPr>
          <w:trHeight w:val="315"/>
        </w:trPr>
        <w:tc>
          <w:tcPr>
            <w:tcW w:w="4230" w:type="dxa"/>
            <w:gridSpan w:val="2"/>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rsidR="00F611E7" w:rsidRPr="007C19B3" w:rsidRDefault="00F611E7" w:rsidP="00CA52D1">
            <w:pPr>
              <w:spacing w:after="0" w:line="240" w:lineRule="auto"/>
              <w:rPr>
                <w:rFonts w:eastAsia="Times New Roman" w:cs="Tahoma"/>
                <w:color w:val="000000"/>
                <w:sz w:val="20"/>
                <w:szCs w:val="20"/>
              </w:rPr>
            </w:pPr>
            <w:r w:rsidRPr="007C19B3">
              <w:rPr>
                <w:rFonts w:eastAsia="Times New Roman" w:cs="Tahoma"/>
                <w:color w:val="000000"/>
                <w:sz w:val="20"/>
                <w:szCs w:val="20"/>
              </w:rPr>
              <w:t>Source:  Texas Workforce Commission</w:t>
            </w:r>
          </w:p>
        </w:tc>
        <w:tc>
          <w:tcPr>
            <w:tcW w:w="530" w:type="dxa"/>
            <w:tcBorders>
              <w:top w:val="nil"/>
              <w:left w:val="nil"/>
              <w:bottom w:val="single" w:sz="8" w:space="0" w:color="BFBFBF"/>
              <w:right w:val="nil"/>
            </w:tcBorders>
          </w:tcPr>
          <w:p w:rsidR="00F611E7" w:rsidRPr="007C19B3" w:rsidRDefault="00F611E7" w:rsidP="00CA52D1">
            <w:pPr>
              <w:spacing w:after="0" w:line="240" w:lineRule="auto"/>
              <w:jc w:val="center"/>
              <w:rPr>
                <w:rFonts w:eastAsia="Times New Roman" w:cs="Tahoma"/>
                <w:color w:val="000000"/>
                <w:sz w:val="24"/>
                <w:szCs w:val="24"/>
              </w:rPr>
            </w:pPr>
          </w:p>
        </w:tc>
        <w:tc>
          <w:tcPr>
            <w:tcW w:w="2250" w:type="dxa"/>
            <w:tcBorders>
              <w:top w:val="nil"/>
              <w:left w:val="nil"/>
              <w:bottom w:val="single" w:sz="8" w:space="0" w:color="BFBFBF"/>
              <w:right w:val="single" w:sz="8" w:space="0" w:color="BFBFBF"/>
            </w:tcBorders>
            <w:shd w:val="clear" w:color="auto" w:fill="auto"/>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 </w:t>
            </w:r>
          </w:p>
        </w:tc>
        <w:tc>
          <w:tcPr>
            <w:tcW w:w="2340" w:type="dxa"/>
            <w:tcBorders>
              <w:top w:val="nil"/>
              <w:left w:val="nil"/>
              <w:bottom w:val="single" w:sz="8" w:space="0" w:color="BFBFBF"/>
              <w:right w:val="single" w:sz="8" w:space="0" w:color="BFBFBF"/>
            </w:tcBorders>
            <w:shd w:val="clear" w:color="auto" w:fill="auto"/>
            <w:noWrap/>
            <w:vAlign w:val="center"/>
            <w:hideMark/>
          </w:tcPr>
          <w:p w:rsidR="00F611E7" w:rsidRPr="007C19B3" w:rsidRDefault="00F611E7" w:rsidP="00CA52D1">
            <w:pPr>
              <w:spacing w:after="0" w:line="240" w:lineRule="auto"/>
              <w:jc w:val="center"/>
              <w:rPr>
                <w:rFonts w:eastAsia="Times New Roman" w:cs="Tahoma"/>
                <w:color w:val="000000"/>
                <w:sz w:val="24"/>
                <w:szCs w:val="24"/>
              </w:rPr>
            </w:pPr>
            <w:r w:rsidRPr="007C19B3">
              <w:rPr>
                <w:rFonts w:eastAsia="Times New Roman" w:cs="Tahoma"/>
                <w:color w:val="000000"/>
                <w:sz w:val="24"/>
                <w:szCs w:val="24"/>
              </w:rPr>
              <w:t> </w:t>
            </w:r>
          </w:p>
        </w:tc>
      </w:tr>
    </w:tbl>
    <w:p w:rsidR="00F72FB8" w:rsidRPr="00F611E7" w:rsidRDefault="00F72FB8" w:rsidP="007217BB">
      <w:pPr>
        <w:tabs>
          <w:tab w:val="left" w:pos="720"/>
        </w:tabs>
        <w:spacing w:after="120" w:line="300" w:lineRule="auto"/>
        <w:jc w:val="both"/>
        <w:rPr>
          <w:rFonts w:eastAsia="Times New Roman" w:cs="Tahoma"/>
          <w:b/>
          <w:sz w:val="26"/>
          <w:szCs w:val="26"/>
        </w:rPr>
      </w:pPr>
      <w:r w:rsidRPr="00F611E7">
        <w:rPr>
          <w:rFonts w:eastAsia="Times New Roman" w:cs="Tahoma"/>
          <w:b/>
          <w:sz w:val="26"/>
          <w:szCs w:val="26"/>
        </w:rPr>
        <w:t>Waco’s Economic Momentum</w:t>
      </w:r>
    </w:p>
    <w:p w:rsidR="00626C3A" w:rsidRDefault="00626C3A" w:rsidP="00626C3A">
      <w:pPr>
        <w:spacing w:after="0" w:line="300" w:lineRule="auto"/>
        <w:ind w:firstLine="720"/>
        <w:rPr>
          <w:rFonts w:cs="Tahoma"/>
          <w:noProof/>
          <w:sz w:val="24"/>
          <w:szCs w:val="24"/>
        </w:rPr>
      </w:pPr>
      <w:r w:rsidRPr="007C19B3">
        <w:rPr>
          <w:rFonts w:eastAsia="Times New Roman" w:cs="Tahoma"/>
          <w:color w:val="333333"/>
          <w:sz w:val="24"/>
          <w:szCs w:val="24"/>
        </w:rPr>
        <w:t xml:space="preserve">The City of Waco is the largest city in the Waco MSA that includes McLennan and Falls counties.   About two-thirds of the workers employed in the City of Waco live outside of the Waco city limits, mostly within the Waco MSA.  </w:t>
      </w:r>
      <w:r w:rsidR="002201FB" w:rsidRPr="007C19B3">
        <w:rPr>
          <w:rFonts w:eastAsia="Times New Roman" w:cs="Tahoma"/>
          <w:color w:val="333333"/>
          <w:sz w:val="24"/>
          <w:szCs w:val="24"/>
        </w:rPr>
        <w:t>Over the past five years the Waco MSA’s population increased by 11.2%</w:t>
      </w:r>
      <w:r w:rsidR="002201FB">
        <w:rPr>
          <w:rFonts w:eastAsia="Times New Roman" w:cs="Tahoma"/>
          <w:color w:val="333333"/>
          <w:sz w:val="24"/>
          <w:szCs w:val="24"/>
        </w:rPr>
        <w:t>,</w:t>
      </w:r>
      <w:r w:rsidR="002201FB" w:rsidRPr="007C19B3">
        <w:rPr>
          <w:rFonts w:eastAsia="Times New Roman" w:cs="Tahoma"/>
          <w:color w:val="333333"/>
          <w:sz w:val="24"/>
          <w:szCs w:val="24"/>
        </w:rPr>
        <w:t xml:space="preserve"> reaching over 262,400 persons </w:t>
      </w:r>
      <w:r w:rsidR="002201FB">
        <w:rPr>
          <w:rFonts w:eastAsia="Times New Roman" w:cs="Tahoma"/>
          <w:color w:val="333333"/>
          <w:sz w:val="24"/>
          <w:szCs w:val="24"/>
        </w:rPr>
        <w:t>in</w:t>
      </w:r>
      <w:r w:rsidR="002201FB" w:rsidRPr="007C19B3">
        <w:rPr>
          <w:rFonts w:eastAsia="Times New Roman" w:cs="Tahoma"/>
          <w:color w:val="333333"/>
          <w:sz w:val="24"/>
          <w:szCs w:val="24"/>
        </w:rPr>
        <w:t xml:space="preserve"> 2015</w:t>
      </w:r>
      <w:r w:rsidR="002201FB">
        <w:rPr>
          <w:rFonts w:eastAsia="Times New Roman" w:cs="Tahoma"/>
          <w:color w:val="333333"/>
          <w:sz w:val="24"/>
          <w:szCs w:val="24"/>
        </w:rPr>
        <w:t xml:space="preserve"> followed by continued net population gains since that period.  </w:t>
      </w:r>
      <w:r w:rsidRPr="007C19B3">
        <w:rPr>
          <w:rFonts w:eastAsia="Times New Roman" w:cs="Tahoma"/>
          <w:color w:val="333333"/>
          <w:sz w:val="24"/>
          <w:szCs w:val="24"/>
        </w:rPr>
        <w:t>The Waco MSA</w:t>
      </w:r>
      <w:r w:rsidR="002201FB">
        <w:rPr>
          <w:rFonts w:eastAsia="Times New Roman" w:cs="Tahoma"/>
          <w:color w:val="333333"/>
          <w:sz w:val="24"/>
          <w:szCs w:val="24"/>
        </w:rPr>
        <w:t xml:space="preserve">’s attraction to outside </w:t>
      </w:r>
      <w:r w:rsidRPr="007C19B3">
        <w:rPr>
          <w:rFonts w:eastAsia="Times New Roman" w:cs="Tahoma"/>
          <w:color w:val="333333"/>
          <w:sz w:val="24"/>
          <w:szCs w:val="24"/>
        </w:rPr>
        <w:t xml:space="preserve">residents </w:t>
      </w:r>
      <w:r w:rsidR="002201FB">
        <w:rPr>
          <w:rFonts w:eastAsia="Times New Roman" w:cs="Tahoma"/>
          <w:color w:val="333333"/>
          <w:sz w:val="24"/>
          <w:szCs w:val="24"/>
        </w:rPr>
        <w:t>includes</w:t>
      </w:r>
      <w:r w:rsidRPr="007C19B3">
        <w:rPr>
          <w:rFonts w:eastAsia="Times New Roman" w:cs="Tahoma"/>
          <w:color w:val="333333"/>
          <w:sz w:val="24"/>
          <w:szCs w:val="24"/>
        </w:rPr>
        <w:t xml:space="preserve"> </w:t>
      </w:r>
      <w:r w:rsidR="002201FB">
        <w:rPr>
          <w:rFonts w:eastAsia="Times New Roman" w:cs="Tahoma"/>
          <w:color w:val="333333"/>
          <w:sz w:val="24"/>
          <w:szCs w:val="24"/>
        </w:rPr>
        <w:t xml:space="preserve">not only </w:t>
      </w:r>
      <w:r w:rsidRPr="007C19B3">
        <w:rPr>
          <w:rFonts w:eastAsia="Times New Roman" w:cs="Tahoma"/>
          <w:color w:val="333333"/>
          <w:sz w:val="24"/>
          <w:szCs w:val="24"/>
        </w:rPr>
        <w:t>rising employment opportunities</w:t>
      </w:r>
      <w:r w:rsidR="002201FB">
        <w:rPr>
          <w:rFonts w:eastAsia="Times New Roman" w:cs="Tahoma"/>
          <w:color w:val="333333"/>
          <w:sz w:val="24"/>
          <w:szCs w:val="24"/>
        </w:rPr>
        <w:t>,</w:t>
      </w:r>
      <w:r w:rsidRPr="007C19B3">
        <w:rPr>
          <w:rFonts w:eastAsia="Times New Roman" w:cs="Tahoma"/>
          <w:color w:val="333333"/>
          <w:sz w:val="24"/>
          <w:szCs w:val="24"/>
        </w:rPr>
        <w:t xml:space="preserve"> </w:t>
      </w:r>
      <w:r w:rsidR="002201FB">
        <w:rPr>
          <w:rFonts w:eastAsia="Times New Roman" w:cs="Tahoma"/>
          <w:color w:val="333333"/>
          <w:sz w:val="24"/>
          <w:szCs w:val="24"/>
        </w:rPr>
        <w:t>but the</w:t>
      </w:r>
      <w:r w:rsidRPr="007C19B3">
        <w:rPr>
          <w:rFonts w:eastAsia="Times New Roman" w:cs="Tahoma"/>
          <w:color w:val="333333"/>
          <w:sz w:val="24"/>
          <w:szCs w:val="24"/>
        </w:rPr>
        <w:t xml:space="preserve"> cost of living that is estimated to be at least 12 percent lower than the national average.  The 2015 median household income of residents within the Waco MSA amounted to $42.2 thousand with approximately 22% below the poverty rate.  </w:t>
      </w:r>
      <w:r w:rsidRPr="007C19B3">
        <w:rPr>
          <w:rFonts w:cs="Tahoma"/>
          <w:noProof/>
          <w:sz w:val="24"/>
          <w:szCs w:val="24"/>
        </w:rPr>
        <w:t xml:space="preserve">By the middle of 2017 the Waco economy </w:t>
      </w:r>
      <w:r w:rsidR="002201FB">
        <w:rPr>
          <w:rFonts w:cs="Tahoma"/>
          <w:noProof/>
          <w:sz w:val="24"/>
          <w:szCs w:val="24"/>
        </w:rPr>
        <w:t xml:space="preserve">had </w:t>
      </w:r>
      <w:r w:rsidRPr="007C19B3">
        <w:rPr>
          <w:rFonts w:cs="Tahoma"/>
          <w:noProof/>
          <w:sz w:val="24"/>
          <w:szCs w:val="24"/>
        </w:rPr>
        <w:t xml:space="preserve">not only recovered from the 2008-09 recession, but it had also generated an additional 11.2 thousand jobs compared with its early 2008 pre-recession peak.   </w:t>
      </w:r>
    </w:p>
    <w:p w:rsidR="00D05226" w:rsidRPr="007C19B3" w:rsidRDefault="00D05226" w:rsidP="00D05226">
      <w:pPr>
        <w:spacing w:after="0" w:line="300" w:lineRule="auto"/>
        <w:ind w:firstLine="720"/>
        <w:rPr>
          <w:rFonts w:eastAsia="Times New Roman" w:cs="Tahoma"/>
          <w:color w:val="333333"/>
          <w:sz w:val="24"/>
          <w:szCs w:val="24"/>
        </w:rPr>
      </w:pPr>
      <w:r w:rsidRPr="007C19B3">
        <w:rPr>
          <w:rFonts w:eastAsia="Times New Roman" w:cs="Tahoma"/>
          <w:color w:val="333333"/>
          <w:sz w:val="24"/>
          <w:szCs w:val="24"/>
        </w:rPr>
        <w:t xml:space="preserve">The economic environment of Waco </w:t>
      </w:r>
      <w:r w:rsidR="00626C3A">
        <w:rPr>
          <w:rFonts w:eastAsia="Times New Roman" w:cs="Tahoma"/>
          <w:color w:val="333333"/>
          <w:sz w:val="24"/>
          <w:szCs w:val="24"/>
        </w:rPr>
        <w:t>is</w:t>
      </w:r>
      <w:r w:rsidRPr="007C19B3">
        <w:rPr>
          <w:rFonts w:eastAsia="Times New Roman" w:cs="Tahoma"/>
          <w:color w:val="333333"/>
          <w:sz w:val="24"/>
          <w:szCs w:val="24"/>
        </w:rPr>
        <w:t xml:space="preserve"> benefitt</w:t>
      </w:r>
      <w:r w:rsidR="00626C3A">
        <w:rPr>
          <w:rFonts w:eastAsia="Times New Roman" w:cs="Tahoma"/>
          <w:color w:val="333333"/>
          <w:sz w:val="24"/>
          <w:szCs w:val="24"/>
        </w:rPr>
        <w:t>ing</w:t>
      </w:r>
      <w:r w:rsidRPr="007C19B3">
        <w:rPr>
          <w:rFonts w:eastAsia="Times New Roman" w:cs="Tahoma"/>
          <w:color w:val="333333"/>
          <w:sz w:val="24"/>
          <w:szCs w:val="24"/>
        </w:rPr>
        <w:t xml:space="preserve"> from important initiatives that support economic growth within the city and the surrounding region by encouraging and supporting new investment by existing businesses, attracting new investors and workers looking to relocate, and encouraging the development of cultural activities that are attractive to tourists and entrepreneurs.  Significant catalysts are providing momentum for downtown development</w:t>
      </w:r>
      <w:r w:rsidR="001E07EA">
        <w:rPr>
          <w:rFonts w:eastAsia="Times New Roman" w:cs="Tahoma"/>
          <w:color w:val="333333"/>
          <w:sz w:val="24"/>
          <w:szCs w:val="24"/>
        </w:rPr>
        <w:t>,</w:t>
      </w:r>
      <w:r w:rsidRPr="007C19B3">
        <w:rPr>
          <w:rFonts w:eastAsia="Times New Roman" w:cs="Tahoma"/>
          <w:color w:val="333333"/>
          <w:sz w:val="24"/>
          <w:szCs w:val="24"/>
        </w:rPr>
        <w:t xml:space="preserve"> including the Waco Downtown Cultural District approved in 2016 by the Texas Commission on the Arts, the success of the Downtown Farmer’s Market, and Magnolia Market and Silos as the retail designation for HGTV’s “Fixer Upper” venue created by Chip and Joanna Gains.  Other events include the Texas Food Truck Showdown, the Brazos Nights concerts, the Waco Wonderland holiday celebration.  Proximity to Baylor Stadium and the development of walking corridors along Lake Brazos further encourage the development of the adjacent I-35 area that add to the momentum for growth in the downtown area.  Downtown Waco continues to attract investors, such as th</w:t>
      </w:r>
      <w:r w:rsidRPr="007C19B3">
        <w:rPr>
          <w:rFonts w:cs="Tahoma"/>
          <w:sz w:val="24"/>
          <w:szCs w:val="24"/>
        </w:rPr>
        <w:t xml:space="preserve">e announcement of Jackson Station during the same summer 2017 week that the Waco City Council heard proposals for development around Heritage Square near Waco City Hall and the Waco Convention Center.  </w:t>
      </w:r>
      <w:r w:rsidRPr="007C19B3">
        <w:rPr>
          <w:rFonts w:eastAsia="Times New Roman" w:cs="Tahoma"/>
          <w:color w:val="333333"/>
          <w:sz w:val="24"/>
          <w:szCs w:val="24"/>
        </w:rPr>
        <w:t>Local attractions have contributed to a surge in visitors that has tripled the number of visitors over the past year and increased hotel revenues by 19 percent.</w:t>
      </w:r>
    </w:p>
    <w:p w:rsidR="00D05226" w:rsidRPr="007C19B3" w:rsidRDefault="007217BB" w:rsidP="001E07EA">
      <w:pPr>
        <w:shd w:val="clear" w:color="auto" w:fill="FFFFFF"/>
        <w:spacing w:after="0" w:line="300" w:lineRule="auto"/>
        <w:textAlignment w:val="baseline"/>
        <w:rPr>
          <w:rFonts w:eastAsia="Times New Roman" w:cs="Tahoma"/>
          <w:color w:val="333333"/>
          <w:sz w:val="24"/>
          <w:szCs w:val="24"/>
        </w:rPr>
      </w:pPr>
      <w:r>
        <w:rPr>
          <w:rFonts w:eastAsia="Times New Roman" w:cs="Tahoma"/>
          <w:color w:val="333333"/>
          <w:sz w:val="24"/>
          <w:szCs w:val="24"/>
        </w:rPr>
        <w:t xml:space="preserve">             </w:t>
      </w:r>
      <w:r w:rsidR="0034025C" w:rsidRPr="007C19B3">
        <w:rPr>
          <w:rFonts w:eastAsia="Times New Roman" w:cs="Tahoma"/>
          <w:color w:val="333333"/>
          <w:sz w:val="24"/>
          <w:szCs w:val="24"/>
        </w:rPr>
        <w:t>Bond</w:t>
      </w:r>
      <w:r w:rsidR="003223FC" w:rsidRPr="007C19B3">
        <w:rPr>
          <w:rFonts w:eastAsia="Times New Roman" w:cs="Tahoma"/>
          <w:color w:val="333333"/>
          <w:sz w:val="24"/>
          <w:szCs w:val="24"/>
        </w:rPr>
        <w:t xml:space="preserve"> rating services continue to recognize Waco’s favorable growth that reflects its regional importance and ability to sustain stable economic and financial trends.  According to the Perryman Group’s long-run forecast based on relative competitiveness and infrastructure development, by the year 2040 the Waco area population will have increased by over 59 thousand persons with employment growth averaging almost 1.5% per year while real GDP increases at a 3.3% annual pace and growth in personal income averages about 3.6% per year.</w:t>
      </w:r>
      <w:r w:rsidR="00D05226" w:rsidRPr="007C19B3">
        <w:rPr>
          <w:rFonts w:eastAsia="Times New Roman" w:cs="Tahoma"/>
          <w:color w:val="333333"/>
          <w:sz w:val="24"/>
          <w:szCs w:val="24"/>
        </w:rPr>
        <w:t xml:space="preserve">  </w:t>
      </w:r>
      <w:r>
        <w:rPr>
          <w:rFonts w:eastAsia="Times New Roman" w:cs="Tahoma"/>
          <w:color w:val="333333"/>
          <w:sz w:val="24"/>
          <w:szCs w:val="24"/>
        </w:rPr>
        <w:t xml:space="preserve">      </w:t>
      </w:r>
      <w:r w:rsidR="001E07EA">
        <w:rPr>
          <w:rFonts w:eastAsia="Times New Roman" w:cs="Tahoma"/>
          <w:color w:val="333333"/>
          <w:sz w:val="24"/>
          <w:szCs w:val="24"/>
        </w:rPr>
        <w:t xml:space="preserve"> </w:t>
      </w:r>
      <w:r w:rsidR="00D05226" w:rsidRPr="007C19B3">
        <w:rPr>
          <w:rFonts w:eastAsia="Times New Roman" w:cs="Tahoma"/>
          <w:color w:val="333333"/>
          <w:sz w:val="24"/>
          <w:szCs w:val="24"/>
        </w:rPr>
        <w:t xml:space="preserve">Waco continues to benefit from the presence of Baylor University, MCC, and TSTC that support an educated workforce that is expanding in importance among prospective pools of labor.  The Waco area benefits from eleven business parks including those sponsored by the Waco Industrial Foundation.  Development of </w:t>
      </w:r>
      <w:r w:rsidR="001E07EA">
        <w:rPr>
          <w:rFonts w:eastAsia="Times New Roman" w:cs="Tahoma"/>
          <w:color w:val="333333"/>
          <w:sz w:val="24"/>
          <w:szCs w:val="24"/>
        </w:rPr>
        <w:t>d</w:t>
      </w:r>
      <w:r w:rsidR="00D05226" w:rsidRPr="007C19B3">
        <w:rPr>
          <w:rFonts w:eastAsia="Times New Roman" w:cs="Tahoma"/>
          <w:color w:val="333333"/>
          <w:sz w:val="24"/>
          <w:szCs w:val="24"/>
        </w:rPr>
        <w:t>owntown Waco continues to focus on its ability to attract talented workers to the area, including “space-based” economic development that increases the quality of life to attract entrepreneurs and encourages people to want to live there.</w:t>
      </w:r>
    </w:p>
    <w:p w:rsidR="00103CCA" w:rsidRPr="00103CCA" w:rsidRDefault="00E76A56" w:rsidP="00626C3A">
      <w:pPr>
        <w:shd w:val="clear" w:color="auto" w:fill="FFFFFF"/>
        <w:spacing w:after="0" w:line="300" w:lineRule="auto"/>
        <w:textAlignment w:val="baseline"/>
        <w:rPr>
          <w:rFonts w:eastAsia="Times New Roman" w:cs="Tahoma"/>
          <w:color w:val="333333"/>
          <w:sz w:val="16"/>
          <w:szCs w:val="16"/>
        </w:rPr>
      </w:pPr>
      <w:r w:rsidRPr="007C19B3">
        <w:rPr>
          <w:rFonts w:eastAsia="Times New Roman" w:cs="Tahoma"/>
          <w:color w:val="333333"/>
          <w:sz w:val="24"/>
          <w:szCs w:val="24"/>
        </w:rPr>
        <w:tab/>
      </w:r>
    </w:p>
    <w:p w:rsidR="00E76A56" w:rsidRDefault="00F13948" w:rsidP="00E76A56">
      <w:pPr>
        <w:shd w:val="clear" w:color="auto" w:fill="FFFFFF"/>
        <w:spacing w:after="0" w:line="240" w:lineRule="auto"/>
        <w:jc w:val="center"/>
        <w:textAlignment w:val="baseline"/>
        <w:rPr>
          <w:rFonts w:eastAsia="Times New Roman" w:cs="Tahoma"/>
          <w:color w:val="333333"/>
          <w:sz w:val="26"/>
          <w:szCs w:val="26"/>
        </w:rPr>
      </w:pPr>
      <w:r>
        <w:rPr>
          <w:noProof/>
        </w:rPr>
        <w:drawing>
          <wp:inline distT="0" distB="0" distL="0" distR="0" wp14:anchorId="72BDA27E" wp14:editId="26691A78">
            <wp:extent cx="5915025" cy="2428875"/>
            <wp:effectExtent l="0" t="0" r="9525" b="9525"/>
            <wp:docPr id="1" name="Chart 1">
              <a:extLst xmlns:a="http://schemas.openxmlformats.org/drawingml/2006/main">
                <a:ext uri="{FF2B5EF4-FFF2-40B4-BE49-F238E27FC236}">
                  <a16:creationId xmlns:a16="http://schemas.microsoft.com/office/drawing/2014/main" id="{FC54683C-0434-465F-91C2-F5CFF503E6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03CCA" w:rsidRPr="00103CCA" w:rsidRDefault="00103CCA" w:rsidP="00103CCA">
      <w:pPr>
        <w:shd w:val="clear" w:color="auto" w:fill="FFFFFF"/>
        <w:spacing w:after="0" w:line="240" w:lineRule="auto"/>
        <w:textAlignment w:val="baseline"/>
        <w:rPr>
          <w:rFonts w:eastAsia="Times New Roman" w:cs="Tahoma"/>
          <w:color w:val="333333"/>
          <w:sz w:val="20"/>
          <w:szCs w:val="20"/>
        </w:rPr>
      </w:pPr>
      <w:r w:rsidRPr="00103CCA">
        <w:rPr>
          <w:rFonts w:eastAsia="Times New Roman" w:cs="Tahoma"/>
          <w:color w:val="333333"/>
          <w:sz w:val="20"/>
          <w:szCs w:val="20"/>
        </w:rPr>
        <w:t>Source:  U.S. Dept. of Commerce</w:t>
      </w:r>
    </w:p>
    <w:p w:rsidR="00F13948" w:rsidRDefault="009A575D" w:rsidP="009A575D">
      <w:pPr>
        <w:shd w:val="clear" w:color="auto" w:fill="FFFFFF"/>
        <w:spacing w:after="0" w:line="300" w:lineRule="auto"/>
        <w:ind w:left="720"/>
        <w:textAlignment w:val="baseline"/>
        <w:rPr>
          <w:rFonts w:eastAsia="Times New Roman" w:cs="Tahoma"/>
          <w:color w:val="333333"/>
          <w:sz w:val="26"/>
          <w:szCs w:val="26"/>
        </w:rPr>
      </w:pPr>
      <w:r>
        <w:rPr>
          <w:rFonts w:eastAsia="Times New Roman" w:cs="Tahoma"/>
          <w:color w:val="333333"/>
          <w:sz w:val="26"/>
          <w:szCs w:val="26"/>
        </w:rPr>
        <w:t xml:space="preserve">   </w:t>
      </w:r>
    </w:p>
    <w:p w:rsidR="005765A9" w:rsidRDefault="007C19B3" w:rsidP="00930554">
      <w:pPr>
        <w:shd w:val="clear" w:color="auto" w:fill="FFFFFF"/>
        <w:spacing w:after="0" w:line="300" w:lineRule="auto"/>
        <w:ind w:firstLine="720"/>
        <w:textAlignment w:val="baseline"/>
        <w:rPr>
          <w:rFonts w:eastAsia="Times New Roman" w:cs="Tahoma"/>
          <w:color w:val="333333"/>
          <w:sz w:val="24"/>
          <w:szCs w:val="24"/>
        </w:rPr>
      </w:pPr>
      <w:r w:rsidRPr="007C19B3">
        <w:rPr>
          <w:rFonts w:cs="Tahoma"/>
          <w:noProof/>
          <w:sz w:val="24"/>
          <w:szCs w:val="24"/>
        </w:rPr>
        <w:t>Figure 2 shows</w:t>
      </w:r>
      <w:r w:rsidR="00184D87">
        <w:rPr>
          <w:rFonts w:cs="Tahoma"/>
          <w:noProof/>
          <w:sz w:val="24"/>
          <w:szCs w:val="24"/>
        </w:rPr>
        <w:t xml:space="preserve"> annual d</w:t>
      </w:r>
      <w:r w:rsidR="002201FB">
        <w:rPr>
          <w:rFonts w:cs="Tahoma"/>
          <w:noProof/>
          <w:sz w:val="24"/>
          <w:szCs w:val="24"/>
        </w:rPr>
        <w:t xml:space="preserve">ata available through 2015 </w:t>
      </w:r>
      <w:r w:rsidR="008F3E7B">
        <w:rPr>
          <w:rFonts w:cs="Tahoma"/>
          <w:noProof/>
          <w:sz w:val="24"/>
          <w:szCs w:val="24"/>
        </w:rPr>
        <w:t xml:space="preserve">that </w:t>
      </w:r>
      <w:r w:rsidR="00184D87">
        <w:rPr>
          <w:rFonts w:cs="Tahoma"/>
          <w:noProof/>
          <w:sz w:val="24"/>
          <w:szCs w:val="24"/>
        </w:rPr>
        <w:t xml:space="preserve">measures </w:t>
      </w:r>
      <w:r w:rsidRPr="007C19B3">
        <w:rPr>
          <w:rFonts w:cs="Tahoma"/>
          <w:noProof/>
          <w:sz w:val="24"/>
          <w:szCs w:val="24"/>
        </w:rPr>
        <w:t>the average annual income per capita (</w:t>
      </w:r>
      <w:r w:rsidR="00A66D25">
        <w:rPr>
          <w:rFonts w:cs="Tahoma"/>
          <w:noProof/>
          <w:sz w:val="24"/>
          <w:szCs w:val="24"/>
        </w:rPr>
        <w:t>PCPI</w:t>
      </w:r>
      <w:r w:rsidR="002201FB">
        <w:rPr>
          <w:rFonts w:cs="Tahoma"/>
          <w:noProof/>
          <w:sz w:val="24"/>
          <w:szCs w:val="24"/>
        </w:rPr>
        <w:t>)</w:t>
      </w:r>
      <w:r w:rsidRPr="007C19B3">
        <w:rPr>
          <w:rFonts w:cs="Tahoma"/>
          <w:noProof/>
          <w:sz w:val="24"/>
          <w:szCs w:val="24"/>
        </w:rPr>
        <w:t xml:space="preserve"> </w:t>
      </w:r>
      <w:r w:rsidR="002201FB">
        <w:rPr>
          <w:rFonts w:cs="Tahoma"/>
          <w:noProof/>
          <w:sz w:val="24"/>
          <w:szCs w:val="24"/>
        </w:rPr>
        <w:t xml:space="preserve">in Waco’s MSA </w:t>
      </w:r>
      <w:r w:rsidRPr="007C19B3">
        <w:rPr>
          <w:rFonts w:cs="Tahoma"/>
          <w:noProof/>
          <w:sz w:val="24"/>
          <w:szCs w:val="24"/>
        </w:rPr>
        <w:t xml:space="preserve">compared with the U.S. average.  Waco’s relative growth during the 2008-09 recession is due to its relative stability compared with many other parts of the country, especially in the housing market.   The two years of relatively slow growth in PCPI during the 2011- 12 period is largely due to the more rapid growth in larger metro areas and </w:t>
      </w:r>
      <w:r w:rsidR="00A66D25">
        <w:rPr>
          <w:rFonts w:cs="Tahoma"/>
          <w:noProof/>
          <w:sz w:val="24"/>
          <w:szCs w:val="24"/>
        </w:rPr>
        <w:t xml:space="preserve">in smaller metro area </w:t>
      </w:r>
      <w:r w:rsidRPr="007C19B3">
        <w:rPr>
          <w:rFonts w:cs="Tahoma"/>
          <w:noProof/>
          <w:sz w:val="24"/>
          <w:szCs w:val="24"/>
        </w:rPr>
        <w:t xml:space="preserve">regions that benefitted from rising energy prices.   Since 2012 Waco’s average annual income per capita has increased relative to </w:t>
      </w:r>
      <w:r w:rsidR="00930554">
        <w:rPr>
          <w:rFonts w:cs="Tahoma"/>
          <w:noProof/>
          <w:sz w:val="24"/>
          <w:szCs w:val="24"/>
        </w:rPr>
        <w:t>the 382 Metropolitan Stastistical Areas (MSAs) in the nation.</w:t>
      </w:r>
      <w:r w:rsidRPr="007C19B3">
        <w:rPr>
          <w:rFonts w:cs="Tahoma"/>
          <w:noProof/>
          <w:sz w:val="24"/>
          <w:szCs w:val="24"/>
        </w:rPr>
        <w:t xml:space="preserve"> </w:t>
      </w:r>
      <w:r w:rsidR="008F3E7B">
        <w:rPr>
          <w:rFonts w:cs="Tahoma"/>
          <w:noProof/>
          <w:sz w:val="24"/>
          <w:szCs w:val="24"/>
        </w:rPr>
        <w:t xml:space="preserve"> </w:t>
      </w:r>
      <w:r w:rsidR="008F3E7B" w:rsidRPr="00930554">
        <w:rPr>
          <w:rFonts w:eastAsia="Times New Roman" w:cs="Tahoma"/>
          <w:color w:val="333333"/>
          <w:sz w:val="24"/>
          <w:szCs w:val="24"/>
        </w:rPr>
        <w:t xml:space="preserve">The 2014-2015 percent change in Waco’s personal income was 5.3% compared with 4.5% nationwide.  </w:t>
      </w:r>
      <w:r w:rsidR="00930554" w:rsidRPr="00930554">
        <w:rPr>
          <w:rFonts w:eastAsia="Times New Roman" w:cs="Tahoma"/>
          <w:color w:val="333333"/>
          <w:sz w:val="24"/>
          <w:szCs w:val="24"/>
        </w:rPr>
        <w:t>Even after adjusting for faster population growth, Waco’s personal income per capita (PCPI) in 2015 was 4.2 percent higher than in 2014 while the national percent change was only 3.7 percent over the same period.  Over the 2014-2015 period yearly net earnings were up 5.6% in Waco compared with 4.7% nationwide, while local income from dividends, interest, and rent increased 3.3% compared with 2.8% nationwide</w:t>
      </w:r>
      <w:r w:rsidR="00930554" w:rsidRPr="007C19B3">
        <w:rPr>
          <w:rFonts w:eastAsia="Times New Roman" w:cs="Tahoma"/>
          <w:color w:val="333333"/>
          <w:sz w:val="24"/>
          <w:szCs w:val="24"/>
        </w:rPr>
        <w:t xml:space="preserve">.  Personal current transfer payments were up 5.6% locally compared with 5.4% nationwide primarily due to the relative increase in the population of retirees moving into Waco from other parts of the country.  </w:t>
      </w:r>
      <w:r w:rsidR="008F3E7B">
        <w:rPr>
          <w:rFonts w:eastAsia="Times New Roman" w:cs="Tahoma"/>
          <w:color w:val="333333"/>
          <w:sz w:val="24"/>
          <w:szCs w:val="24"/>
        </w:rPr>
        <w:t xml:space="preserve">Real GDP growth since 2015 has undoubtedly further improved Waco’s ranking in personal income per capita among U.S. metro areas.  </w:t>
      </w:r>
    </w:p>
    <w:p w:rsidR="008F3E7B" w:rsidRDefault="005765A9" w:rsidP="005765A9">
      <w:pPr>
        <w:shd w:val="clear" w:color="auto" w:fill="FFFFFF"/>
        <w:spacing w:after="0" w:line="300" w:lineRule="auto"/>
        <w:ind w:firstLine="720"/>
        <w:textAlignment w:val="baseline"/>
        <w:rPr>
          <w:rFonts w:eastAsia="Times New Roman" w:cs="Tahoma"/>
          <w:color w:val="333333"/>
          <w:sz w:val="24"/>
          <w:szCs w:val="24"/>
        </w:rPr>
      </w:pPr>
      <w:r w:rsidRPr="00B416A3">
        <w:rPr>
          <w:rFonts w:eastAsia="Times New Roman" w:cs="Tahoma"/>
          <w:noProof/>
          <w:color w:val="333333"/>
          <w:sz w:val="24"/>
          <w:szCs w:val="24"/>
        </w:rPr>
        <mc:AlternateContent>
          <mc:Choice Requires="wps">
            <w:drawing>
              <wp:anchor distT="45720" distB="45720" distL="114300" distR="114300" simplePos="0" relativeHeight="251659264" behindDoc="0" locked="0" layoutInCell="1" allowOverlap="1">
                <wp:simplePos x="0" y="0"/>
                <wp:positionH relativeFrom="margin">
                  <wp:posOffset>1809750</wp:posOffset>
                </wp:positionH>
                <wp:positionV relativeFrom="paragraph">
                  <wp:posOffset>76200</wp:posOffset>
                </wp:positionV>
                <wp:extent cx="3933825" cy="2638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638425"/>
                        </a:xfrm>
                        <a:prstGeom prst="rect">
                          <a:avLst/>
                        </a:prstGeom>
                        <a:solidFill>
                          <a:srgbClr val="FFFFFF"/>
                        </a:solidFill>
                        <a:ln w="9525">
                          <a:solidFill>
                            <a:srgbClr val="000000"/>
                          </a:solidFill>
                          <a:miter lim="800000"/>
                          <a:headEnd/>
                          <a:tailEnd/>
                        </a:ln>
                      </wps:spPr>
                      <wps:txbx>
                        <w:txbxContent>
                          <w:tbl>
                            <w:tblPr>
                              <w:tblW w:w="6030" w:type="dxa"/>
                              <w:tblLook w:val="04A0" w:firstRow="1" w:lastRow="0" w:firstColumn="1" w:lastColumn="0" w:noHBand="0" w:noVBand="1"/>
                            </w:tblPr>
                            <w:tblGrid>
                              <w:gridCol w:w="1530"/>
                              <w:gridCol w:w="2700"/>
                              <w:gridCol w:w="1800"/>
                            </w:tblGrid>
                            <w:tr w:rsidR="00AF45DC" w:rsidRPr="00B416A3" w:rsidTr="00174856">
                              <w:trPr>
                                <w:trHeight w:val="288"/>
                              </w:trPr>
                              <w:tc>
                                <w:tcPr>
                                  <w:tcW w:w="6030" w:type="dxa"/>
                                  <w:gridSpan w:val="3"/>
                                  <w:tcBorders>
                                    <w:top w:val="nil"/>
                                    <w:left w:val="nil"/>
                                    <w:bottom w:val="nil"/>
                                    <w:right w:val="nil"/>
                                  </w:tcBorders>
                                  <w:shd w:val="clear" w:color="auto" w:fill="auto"/>
                                  <w:noWrap/>
                                  <w:vAlign w:val="center"/>
                                  <w:hideMark/>
                                </w:tcPr>
                                <w:p w:rsidR="00AF45DC" w:rsidRPr="00F611E7" w:rsidRDefault="00AF45DC" w:rsidP="005F4538">
                                  <w:pPr>
                                    <w:spacing w:after="0" w:line="240" w:lineRule="auto"/>
                                    <w:rPr>
                                      <w:rFonts w:ascii="Calibri" w:eastAsia="Times New Roman" w:hAnsi="Calibri" w:cs="Times New Roman"/>
                                      <w:b/>
                                      <w:color w:val="000000"/>
                                      <w:sz w:val="24"/>
                                      <w:szCs w:val="24"/>
                                    </w:rPr>
                                  </w:pPr>
                                  <w:r w:rsidRPr="00F611E7">
                                    <w:rPr>
                                      <w:rFonts w:ascii="Calibri" w:eastAsia="Times New Roman" w:hAnsi="Calibri" w:cs="Times New Roman"/>
                                      <w:b/>
                                      <w:color w:val="000000"/>
                                      <w:sz w:val="24"/>
                                      <w:szCs w:val="24"/>
                                    </w:rPr>
                                    <w:t xml:space="preserve">                                                 Table </w:t>
                                  </w:r>
                                  <w:r>
                                    <w:rPr>
                                      <w:rFonts w:ascii="Calibri" w:eastAsia="Times New Roman" w:hAnsi="Calibri" w:cs="Times New Roman"/>
                                      <w:b/>
                                      <w:color w:val="000000"/>
                                      <w:sz w:val="24"/>
                                      <w:szCs w:val="24"/>
                                    </w:rPr>
                                    <w:t>3</w:t>
                                  </w:r>
                                </w:p>
                              </w:tc>
                            </w:tr>
                            <w:tr w:rsidR="00AF45DC" w:rsidRPr="00B416A3" w:rsidTr="00174856">
                              <w:trPr>
                                <w:trHeight w:val="288"/>
                              </w:trPr>
                              <w:tc>
                                <w:tcPr>
                                  <w:tcW w:w="6030" w:type="dxa"/>
                                  <w:gridSpan w:val="3"/>
                                  <w:tcBorders>
                                    <w:top w:val="nil"/>
                                    <w:left w:val="nil"/>
                                    <w:bottom w:val="single" w:sz="8" w:space="0" w:color="BFBFBF"/>
                                    <w:right w:val="nil"/>
                                  </w:tcBorders>
                                  <w:shd w:val="clear" w:color="auto" w:fill="auto"/>
                                  <w:noWrap/>
                                  <w:vAlign w:val="center"/>
                                  <w:hideMark/>
                                </w:tcPr>
                                <w:p w:rsidR="00AF45DC" w:rsidRPr="00F611E7" w:rsidRDefault="00AF45DC" w:rsidP="005F4538">
                                  <w:pPr>
                                    <w:spacing w:after="0" w:line="240" w:lineRule="auto"/>
                                    <w:rPr>
                                      <w:rFonts w:ascii="Calibri" w:eastAsia="Times New Roman" w:hAnsi="Calibri" w:cs="Times New Roman"/>
                                      <w:b/>
                                      <w:color w:val="000000"/>
                                      <w:sz w:val="24"/>
                                      <w:szCs w:val="24"/>
                                    </w:rPr>
                                  </w:pPr>
                                  <w:r w:rsidRPr="00F611E7">
                                    <w:rPr>
                                      <w:rFonts w:ascii="Calibri" w:eastAsia="Times New Roman" w:hAnsi="Calibri" w:cs="Times New Roman"/>
                                      <w:b/>
                                      <w:color w:val="000000"/>
                                      <w:sz w:val="24"/>
                                      <w:szCs w:val="24"/>
                                    </w:rPr>
                                    <w:t xml:space="preserve">            Real Gross Domestic Product in Waco Metro Area</w:t>
                                  </w:r>
                                </w:p>
                                <w:p w:rsidR="00AF45DC" w:rsidRPr="00F611E7" w:rsidRDefault="00AF45DC" w:rsidP="005F4538">
                                  <w:pPr>
                                    <w:spacing w:after="0" w:line="240" w:lineRule="auto"/>
                                    <w:rPr>
                                      <w:rFonts w:ascii="Calibri" w:eastAsia="Times New Roman" w:hAnsi="Calibri" w:cs="Times New Roman"/>
                                      <w:b/>
                                      <w:color w:val="000000"/>
                                      <w:sz w:val="16"/>
                                      <w:szCs w:val="16"/>
                                    </w:rPr>
                                  </w:pPr>
                                </w:p>
                              </w:tc>
                            </w:tr>
                            <w:tr w:rsidR="00AF45DC" w:rsidRPr="00B416A3" w:rsidTr="00174856">
                              <w:trPr>
                                <w:trHeight w:val="288"/>
                              </w:trPr>
                              <w:tc>
                                <w:tcPr>
                                  <w:tcW w:w="1530" w:type="dxa"/>
                                  <w:vMerge w:val="restart"/>
                                  <w:tcBorders>
                                    <w:top w:val="nil"/>
                                    <w:left w:val="single" w:sz="8" w:space="0" w:color="BFBFBF"/>
                                    <w:bottom w:val="single" w:sz="8" w:space="0" w:color="BFBFBF"/>
                                    <w:right w:val="single" w:sz="8" w:space="0" w:color="BFBFBF"/>
                                  </w:tcBorders>
                                  <w:shd w:val="clear" w:color="auto" w:fill="auto"/>
                                  <w:noWrap/>
                                  <w:vAlign w:val="center"/>
                                  <w:hideMark/>
                                </w:tcPr>
                                <w:p w:rsidR="00AF45DC" w:rsidRPr="00A34CCF" w:rsidRDefault="00AF45DC" w:rsidP="005F4538">
                                  <w:pPr>
                                    <w:spacing w:after="0" w:line="240" w:lineRule="auto"/>
                                    <w:jc w:val="center"/>
                                    <w:rPr>
                                      <w:rFonts w:ascii="Calibri" w:eastAsia="Times New Roman" w:hAnsi="Calibri" w:cs="Times New Roman"/>
                                      <w:color w:val="000000"/>
                                      <w:sz w:val="24"/>
                                      <w:szCs w:val="24"/>
                                    </w:rPr>
                                  </w:pPr>
                                  <w:r w:rsidRPr="00A34CCF">
                                    <w:rPr>
                                      <w:rFonts w:ascii="Calibri" w:eastAsia="Times New Roman" w:hAnsi="Calibri" w:cs="Times New Roman"/>
                                      <w:color w:val="000000"/>
                                      <w:sz w:val="24"/>
                                      <w:szCs w:val="24"/>
                                    </w:rPr>
                                    <w:t>Year</w:t>
                                  </w:r>
                                </w:p>
                              </w:tc>
                              <w:tc>
                                <w:tcPr>
                                  <w:tcW w:w="2700" w:type="dxa"/>
                                  <w:tcBorders>
                                    <w:top w:val="nil"/>
                                    <w:left w:val="nil"/>
                                    <w:bottom w:val="nil"/>
                                    <w:right w:val="single" w:sz="8" w:space="0" w:color="BFBFBF"/>
                                  </w:tcBorders>
                                  <w:shd w:val="clear" w:color="auto" w:fill="auto"/>
                                  <w:noWrap/>
                                  <w:vAlign w:val="center"/>
                                  <w:hideMark/>
                                </w:tcPr>
                                <w:p w:rsidR="00AF45DC" w:rsidRPr="00A34CCF" w:rsidRDefault="00AF45DC" w:rsidP="005F4538">
                                  <w:pPr>
                                    <w:spacing w:after="0" w:line="240" w:lineRule="auto"/>
                                    <w:jc w:val="center"/>
                                    <w:rPr>
                                      <w:rFonts w:ascii="Calibri" w:eastAsia="Times New Roman" w:hAnsi="Calibri" w:cs="Times New Roman"/>
                                      <w:color w:val="000000"/>
                                      <w:sz w:val="24"/>
                                      <w:szCs w:val="24"/>
                                    </w:rPr>
                                  </w:pPr>
                                  <w:r w:rsidRPr="00A34CCF">
                                    <w:rPr>
                                      <w:rFonts w:ascii="Calibri" w:eastAsia="Times New Roman" w:hAnsi="Calibri" w:cs="Times New Roman"/>
                                      <w:color w:val="000000"/>
                                      <w:sz w:val="24"/>
                                      <w:szCs w:val="24"/>
                                    </w:rPr>
                                    <w:t>Millions of Chained</w:t>
                                  </w:r>
                                </w:p>
                              </w:tc>
                              <w:tc>
                                <w:tcPr>
                                  <w:tcW w:w="1800" w:type="dxa"/>
                                  <w:tcBorders>
                                    <w:top w:val="nil"/>
                                    <w:left w:val="nil"/>
                                    <w:bottom w:val="nil"/>
                                    <w:right w:val="single" w:sz="8" w:space="0" w:color="BFBFBF"/>
                                  </w:tcBorders>
                                  <w:shd w:val="clear" w:color="auto" w:fill="auto"/>
                                  <w:noWrap/>
                                  <w:vAlign w:val="center"/>
                                  <w:hideMark/>
                                </w:tcPr>
                                <w:p w:rsidR="00AF45DC" w:rsidRPr="00A34CCF" w:rsidRDefault="00AF45DC" w:rsidP="005F4538">
                                  <w:pPr>
                                    <w:spacing w:after="0" w:line="240" w:lineRule="auto"/>
                                    <w:jc w:val="center"/>
                                    <w:rPr>
                                      <w:rFonts w:ascii="Calibri" w:eastAsia="Times New Roman" w:hAnsi="Calibri" w:cs="Times New Roman"/>
                                      <w:color w:val="000000"/>
                                      <w:sz w:val="24"/>
                                      <w:szCs w:val="24"/>
                                    </w:rPr>
                                  </w:pPr>
                                  <w:r w:rsidRPr="00A34CCF">
                                    <w:rPr>
                                      <w:rFonts w:ascii="Calibri" w:eastAsia="Times New Roman" w:hAnsi="Calibri" w:cs="Times New Roman"/>
                                      <w:color w:val="000000"/>
                                      <w:sz w:val="24"/>
                                      <w:szCs w:val="24"/>
                                    </w:rPr>
                                    <w:t>Annual Percent</w:t>
                                  </w:r>
                                </w:p>
                              </w:tc>
                            </w:tr>
                            <w:tr w:rsidR="00AF45DC" w:rsidRPr="00B416A3" w:rsidTr="00174856">
                              <w:trPr>
                                <w:trHeight w:val="288"/>
                              </w:trPr>
                              <w:tc>
                                <w:tcPr>
                                  <w:tcW w:w="1530" w:type="dxa"/>
                                  <w:vMerge/>
                                  <w:tcBorders>
                                    <w:top w:val="nil"/>
                                    <w:left w:val="single" w:sz="8" w:space="0" w:color="BFBFBF"/>
                                    <w:bottom w:val="single" w:sz="8" w:space="0" w:color="BFBFBF"/>
                                    <w:right w:val="single" w:sz="8" w:space="0" w:color="BFBFBF"/>
                                  </w:tcBorders>
                                  <w:vAlign w:val="center"/>
                                  <w:hideMark/>
                                </w:tcPr>
                                <w:p w:rsidR="00AF45DC" w:rsidRPr="00A34CCF" w:rsidRDefault="00AF45DC" w:rsidP="005F4538">
                                  <w:pPr>
                                    <w:spacing w:after="0" w:line="240" w:lineRule="auto"/>
                                    <w:rPr>
                                      <w:rFonts w:ascii="Calibri" w:eastAsia="Times New Roman" w:hAnsi="Calibri" w:cs="Times New Roman"/>
                                      <w:color w:val="000000"/>
                                      <w:sz w:val="24"/>
                                      <w:szCs w:val="24"/>
                                    </w:rPr>
                                  </w:pPr>
                                </w:p>
                              </w:tc>
                              <w:tc>
                                <w:tcPr>
                                  <w:tcW w:w="2700" w:type="dxa"/>
                                  <w:tcBorders>
                                    <w:top w:val="nil"/>
                                    <w:left w:val="nil"/>
                                    <w:bottom w:val="single" w:sz="8" w:space="0" w:color="BFBFBF"/>
                                    <w:right w:val="single" w:sz="8" w:space="0" w:color="BFBFBF"/>
                                  </w:tcBorders>
                                  <w:shd w:val="clear" w:color="auto" w:fill="auto"/>
                                  <w:noWrap/>
                                  <w:vAlign w:val="center"/>
                                  <w:hideMark/>
                                </w:tcPr>
                                <w:p w:rsidR="00AF45DC" w:rsidRPr="00A34CCF" w:rsidRDefault="00AF45DC" w:rsidP="005F4538">
                                  <w:pPr>
                                    <w:spacing w:after="0" w:line="240" w:lineRule="auto"/>
                                    <w:jc w:val="center"/>
                                    <w:rPr>
                                      <w:rFonts w:ascii="Calibri" w:eastAsia="Times New Roman" w:hAnsi="Calibri" w:cs="Times New Roman"/>
                                      <w:color w:val="000000"/>
                                      <w:sz w:val="24"/>
                                      <w:szCs w:val="24"/>
                                    </w:rPr>
                                  </w:pPr>
                                  <w:r w:rsidRPr="00A34CCF">
                                    <w:rPr>
                                      <w:rFonts w:ascii="Calibri" w:eastAsia="Times New Roman" w:hAnsi="Calibri" w:cs="Times New Roman"/>
                                      <w:color w:val="000000"/>
                                      <w:sz w:val="24"/>
                                      <w:szCs w:val="24"/>
                                    </w:rPr>
                                    <w:t>(2009) Dollars</w:t>
                                  </w:r>
                                </w:p>
                              </w:tc>
                              <w:tc>
                                <w:tcPr>
                                  <w:tcW w:w="1800" w:type="dxa"/>
                                  <w:tcBorders>
                                    <w:top w:val="nil"/>
                                    <w:left w:val="nil"/>
                                    <w:bottom w:val="single" w:sz="8" w:space="0" w:color="BFBFBF"/>
                                    <w:right w:val="single" w:sz="8" w:space="0" w:color="BFBFBF"/>
                                  </w:tcBorders>
                                  <w:shd w:val="clear" w:color="auto" w:fill="auto"/>
                                  <w:noWrap/>
                                  <w:vAlign w:val="center"/>
                                  <w:hideMark/>
                                </w:tcPr>
                                <w:p w:rsidR="00AF45DC" w:rsidRPr="00A34CCF" w:rsidRDefault="00AF45DC" w:rsidP="005F4538">
                                  <w:pPr>
                                    <w:spacing w:after="0" w:line="240" w:lineRule="auto"/>
                                    <w:jc w:val="center"/>
                                    <w:rPr>
                                      <w:rFonts w:ascii="Calibri" w:eastAsia="Times New Roman" w:hAnsi="Calibri" w:cs="Times New Roman"/>
                                      <w:color w:val="000000"/>
                                      <w:sz w:val="24"/>
                                      <w:szCs w:val="24"/>
                                    </w:rPr>
                                  </w:pPr>
                                  <w:r w:rsidRPr="00A34CCF">
                                    <w:rPr>
                                      <w:rFonts w:ascii="Calibri" w:eastAsia="Times New Roman" w:hAnsi="Calibri" w:cs="Times New Roman"/>
                                      <w:color w:val="000000"/>
                                      <w:sz w:val="24"/>
                                      <w:szCs w:val="24"/>
                                    </w:rPr>
                                    <w:t xml:space="preserve">Change </w:t>
                                  </w:r>
                                </w:p>
                              </w:tc>
                            </w:tr>
                            <w:tr w:rsidR="00AF45DC" w:rsidRPr="00B416A3" w:rsidTr="00174856">
                              <w:trPr>
                                <w:trHeight w:val="358"/>
                              </w:trPr>
                              <w:tc>
                                <w:tcPr>
                                  <w:tcW w:w="1530" w:type="dxa"/>
                                  <w:tcBorders>
                                    <w:top w:val="nil"/>
                                    <w:left w:val="single" w:sz="8" w:space="0" w:color="BFBFBF"/>
                                    <w:bottom w:val="single" w:sz="8" w:space="0" w:color="BFBFBF"/>
                                    <w:right w:val="single" w:sz="8" w:space="0" w:color="BFBFBF"/>
                                  </w:tcBorders>
                                  <w:shd w:val="clear" w:color="000000" w:fill="F2F2F2"/>
                                  <w:noWrap/>
                                  <w:vAlign w:val="center"/>
                                  <w:hideMark/>
                                </w:tcPr>
                                <w:p w:rsidR="00AF45DC" w:rsidRPr="00A34CCF" w:rsidRDefault="00AF45DC" w:rsidP="005F4538">
                                  <w:pPr>
                                    <w:spacing w:after="0" w:line="240" w:lineRule="auto"/>
                                    <w:jc w:val="center"/>
                                    <w:rPr>
                                      <w:rFonts w:ascii="Calibri" w:eastAsia="Times New Roman" w:hAnsi="Calibri" w:cs="Times New Roman"/>
                                      <w:color w:val="000000"/>
                                      <w:sz w:val="24"/>
                                      <w:szCs w:val="24"/>
                                    </w:rPr>
                                  </w:pPr>
                                  <w:r w:rsidRPr="00A34CCF">
                                    <w:rPr>
                                      <w:rFonts w:ascii="Calibri" w:eastAsia="Times New Roman" w:hAnsi="Calibri" w:cs="Times New Roman"/>
                                      <w:color w:val="000000"/>
                                      <w:sz w:val="24"/>
                                      <w:szCs w:val="24"/>
                                    </w:rPr>
                                    <w:t>2012</w:t>
                                  </w:r>
                                </w:p>
                              </w:tc>
                              <w:tc>
                                <w:tcPr>
                                  <w:tcW w:w="2700" w:type="dxa"/>
                                  <w:tcBorders>
                                    <w:top w:val="nil"/>
                                    <w:left w:val="nil"/>
                                    <w:bottom w:val="single" w:sz="8" w:space="0" w:color="BFBFBF"/>
                                    <w:right w:val="single" w:sz="8" w:space="0" w:color="BFBFBF"/>
                                  </w:tcBorders>
                                  <w:shd w:val="clear" w:color="000000" w:fill="F2F2F2"/>
                                  <w:noWrap/>
                                  <w:vAlign w:val="center"/>
                                  <w:hideMark/>
                                </w:tcPr>
                                <w:p w:rsidR="00AF45DC" w:rsidRPr="00A34CCF" w:rsidRDefault="00AF45DC" w:rsidP="005F4538">
                                  <w:pPr>
                                    <w:spacing w:after="0" w:line="240" w:lineRule="auto"/>
                                    <w:jc w:val="center"/>
                                    <w:rPr>
                                      <w:rFonts w:ascii="Calibri" w:eastAsia="Times New Roman" w:hAnsi="Calibri" w:cs="Times New Roman"/>
                                      <w:color w:val="000000"/>
                                      <w:sz w:val="24"/>
                                      <w:szCs w:val="24"/>
                                    </w:rPr>
                                  </w:pPr>
                                  <w:r w:rsidRPr="00A34CCF">
                                    <w:rPr>
                                      <w:rFonts w:ascii="Calibri" w:eastAsia="Times New Roman" w:hAnsi="Calibri" w:cs="Times New Roman"/>
                                      <w:color w:val="000000"/>
                                      <w:sz w:val="24"/>
                                      <w:szCs w:val="24"/>
                                    </w:rPr>
                                    <w:t xml:space="preserve">$9,302 </w:t>
                                  </w:r>
                                </w:p>
                              </w:tc>
                              <w:tc>
                                <w:tcPr>
                                  <w:tcW w:w="1800" w:type="dxa"/>
                                  <w:tcBorders>
                                    <w:top w:val="nil"/>
                                    <w:left w:val="nil"/>
                                    <w:bottom w:val="single" w:sz="8" w:space="0" w:color="BFBFBF"/>
                                    <w:right w:val="single" w:sz="8" w:space="0" w:color="BFBFBF"/>
                                  </w:tcBorders>
                                  <w:shd w:val="clear" w:color="000000" w:fill="F2F2F2"/>
                                  <w:noWrap/>
                                  <w:vAlign w:val="center"/>
                                  <w:hideMark/>
                                </w:tcPr>
                                <w:p w:rsidR="00AF45DC" w:rsidRPr="00A34CCF" w:rsidRDefault="00AF45DC" w:rsidP="005F4538">
                                  <w:pPr>
                                    <w:spacing w:after="0" w:line="240" w:lineRule="auto"/>
                                    <w:jc w:val="center"/>
                                    <w:rPr>
                                      <w:rFonts w:ascii="Calibri" w:eastAsia="Times New Roman" w:hAnsi="Calibri" w:cs="Times New Roman"/>
                                      <w:color w:val="000000"/>
                                      <w:sz w:val="24"/>
                                      <w:szCs w:val="24"/>
                                    </w:rPr>
                                  </w:pPr>
                                  <w:r w:rsidRPr="00A34CCF">
                                    <w:rPr>
                                      <w:rFonts w:ascii="Calibri" w:eastAsia="Times New Roman" w:hAnsi="Calibri" w:cs="Times New Roman"/>
                                      <w:color w:val="000000"/>
                                      <w:sz w:val="24"/>
                                      <w:szCs w:val="24"/>
                                    </w:rPr>
                                    <w:t>3.4</w:t>
                                  </w:r>
                                </w:p>
                              </w:tc>
                            </w:tr>
                            <w:tr w:rsidR="00AF45DC" w:rsidRPr="00B416A3" w:rsidTr="00174856">
                              <w:trPr>
                                <w:trHeight w:val="430"/>
                              </w:trPr>
                              <w:tc>
                                <w:tcPr>
                                  <w:tcW w:w="1530" w:type="dxa"/>
                                  <w:tcBorders>
                                    <w:top w:val="nil"/>
                                    <w:left w:val="single" w:sz="8" w:space="0" w:color="BFBFBF"/>
                                    <w:bottom w:val="single" w:sz="8" w:space="0" w:color="BFBFBF"/>
                                    <w:right w:val="single" w:sz="8" w:space="0" w:color="BFBFBF"/>
                                  </w:tcBorders>
                                  <w:shd w:val="clear" w:color="auto" w:fill="auto"/>
                                  <w:noWrap/>
                                  <w:vAlign w:val="center"/>
                                  <w:hideMark/>
                                </w:tcPr>
                                <w:p w:rsidR="00AF45DC" w:rsidRPr="00A34CCF" w:rsidRDefault="00AF45DC" w:rsidP="005F4538">
                                  <w:pPr>
                                    <w:spacing w:after="0" w:line="240" w:lineRule="auto"/>
                                    <w:jc w:val="center"/>
                                    <w:rPr>
                                      <w:rFonts w:ascii="Calibri" w:eastAsia="Times New Roman" w:hAnsi="Calibri" w:cs="Times New Roman"/>
                                      <w:color w:val="000000"/>
                                      <w:sz w:val="24"/>
                                      <w:szCs w:val="24"/>
                                    </w:rPr>
                                  </w:pPr>
                                  <w:r w:rsidRPr="00A34CCF">
                                    <w:rPr>
                                      <w:rFonts w:ascii="Calibri" w:eastAsia="Times New Roman" w:hAnsi="Calibri" w:cs="Times New Roman"/>
                                      <w:color w:val="000000"/>
                                      <w:sz w:val="24"/>
                                      <w:szCs w:val="24"/>
                                    </w:rPr>
                                    <w:t>2013</w:t>
                                  </w:r>
                                </w:p>
                              </w:tc>
                              <w:tc>
                                <w:tcPr>
                                  <w:tcW w:w="2700" w:type="dxa"/>
                                  <w:tcBorders>
                                    <w:top w:val="nil"/>
                                    <w:left w:val="nil"/>
                                    <w:bottom w:val="single" w:sz="8" w:space="0" w:color="BFBFBF"/>
                                    <w:right w:val="single" w:sz="8" w:space="0" w:color="BFBFBF"/>
                                  </w:tcBorders>
                                  <w:shd w:val="clear" w:color="auto" w:fill="auto"/>
                                  <w:noWrap/>
                                  <w:vAlign w:val="center"/>
                                  <w:hideMark/>
                                </w:tcPr>
                                <w:p w:rsidR="00AF45DC" w:rsidRPr="00A34CCF" w:rsidRDefault="00AF45DC" w:rsidP="005F4538">
                                  <w:pPr>
                                    <w:spacing w:after="0" w:line="240" w:lineRule="auto"/>
                                    <w:jc w:val="center"/>
                                    <w:rPr>
                                      <w:rFonts w:ascii="Calibri" w:eastAsia="Times New Roman" w:hAnsi="Calibri" w:cs="Times New Roman"/>
                                      <w:color w:val="000000"/>
                                      <w:sz w:val="24"/>
                                      <w:szCs w:val="24"/>
                                    </w:rPr>
                                  </w:pPr>
                                  <w:r w:rsidRPr="00A34CCF">
                                    <w:rPr>
                                      <w:rFonts w:ascii="Calibri" w:eastAsia="Times New Roman" w:hAnsi="Calibri" w:cs="Times New Roman"/>
                                      <w:color w:val="000000"/>
                                      <w:sz w:val="24"/>
                                      <w:szCs w:val="24"/>
                                    </w:rPr>
                                    <w:t xml:space="preserve">$9,650 </w:t>
                                  </w:r>
                                </w:p>
                              </w:tc>
                              <w:tc>
                                <w:tcPr>
                                  <w:tcW w:w="1800" w:type="dxa"/>
                                  <w:tcBorders>
                                    <w:top w:val="nil"/>
                                    <w:left w:val="nil"/>
                                    <w:bottom w:val="single" w:sz="8" w:space="0" w:color="BFBFBF"/>
                                    <w:right w:val="single" w:sz="8" w:space="0" w:color="BFBFBF"/>
                                  </w:tcBorders>
                                  <w:shd w:val="clear" w:color="auto" w:fill="auto"/>
                                  <w:noWrap/>
                                  <w:vAlign w:val="center"/>
                                  <w:hideMark/>
                                </w:tcPr>
                                <w:p w:rsidR="00AF45DC" w:rsidRPr="00A34CCF" w:rsidRDefault="00AF45DC" w:rsidP="005F4538">
                                  <w:pPr>
                                    <w:spacing w:after="0" w:line="240" w:lineRule="auto"/>
                                    <w:jc w:val="center"/>
                                    <w:rPr>
                                      <w:rFonts w:ascii="Calibri" w:eastAsia="Times New Roman" w:hAnsi="Calibri" w:cs="Times New Roman"/>
                                      <w:color w:val="000000"/>
                                      <w:sz w:val="24"/>
                                      <w:szCs w:val="24"/>
                                    </w:rPr>
                                  </w:pPr>
                                  <w:r w:rsidRPr="00A34CCF">
                                    <w:rPr>
                                      <w:rFonts w:ascii="Calibri" w:eastAsia="Times New Roman" w:hAnsi="Calibri" w:cs="Times New Roman"/>
                                      <w:color w:val="000000"/>
                                      <w:sz w:val="24"/>
                                      <w:szCs w:val="24"/>
                                    </w:rPr>
                                    <w:t>3.7</w:t>
                                  </w:r>
                                </w:p>
                              </w:tc>
                            </w:tr>
                            <w:tr w:rsidR="00AF45DC" w:rsidRPr="00B416A3" w:rsidTr="00174856">
                              <w:trPr>
                                <w:trHeight w:val="430"/>
                              </w:trPr>
                              <w:tc>
                                <w:tcPr>
                                  <w:tcW w:w="1530" w:type="dxa"/>
                                  <w:tcBorders>
                                    <w:top w:val="nil"/>
                                    <w:left w:val="single" w:sz="8" w:space="0" w:color="BFBFBF"/>
                                    <w:bottom w:val="single" w:sz="8" w:space="0" w:color="BFBFBF"/>
                                    <w:right w:val="single" w:sz="8" w:space="0" w:color="BFBFBF"/>
                                  </w:tcBorders>
                                  <w:shd w:val="clear" w:color="000000" w:fill="F2F2F2"/>
                                  <w:noWrap/>
                                  <w:vAlign w:val="center"/>
                                  <w:hideMark/>
                                </w:tcPr>
                                <w:p w:rsidR="00AF45DC" w:rsidRPr="00A34CCF" w:rsidRDefault="00AF45DC" w:rsidP="005F4538">
                                  <w:pPr>
                                    <w:spacing w:after="0" w:line="240" w:lineRule="auto"/>
                                    <w:jc w:val="center"/>
                                    <w:rPr>
                                      <w:rFonts w:ascii="Calibri" w:eastAsia="Times New Roman" w:hAnsi="Calibri" w:cs="Times New Roman"/>
                                      <w:color w:val="000000"/>
                                      <w:sz w:val="24"/>
                                      <w:szCs w:val="24"/>
                                    </w:rPr>
                                  </w:pPr>
                                  <w:r w:rsidRPr="00A34CCF">
                                    <w:rPr>
                                      <w:rFonts w:ascii="Calibri" w:eastAsia="Times New Roman" w:hAnsi="Calibri" w:cs="Times New Roman"/>
                                      <w:color w:val="000000"/>
                                      <w:sz w:val="24"/>
                                      <w:szCs w:val="24"/>
                                    </w:rPr>
                                    <w:t>2014</w:t>
                                  </w:r>
                                </w:p>
                              </w:tc>
                              <w:tc>
                                <w:tcPr>
                                  <w:tcW w:w="2700" w:type="dxa"/>
                                  <w:tcBorders>
                                    <w:top w:val="nil"/>
                                    <w:left w:val="nil"/>
                                    <w:bottom w:val="single" w:sz="8" w:space="0" w:color="BFBFBF"/>
                                    <w:right w:val="single" w:sz="8" w:space="0" w:color="BFBFBF"/>
                                  </w:tcBorders>
                                  <w:shd w:val="clear" w:color="000000" w:fill="F2F2F2"/>
                                  <w:noWrap/>
                                  <w:vAlign w:val="center"/>
                                  <w:hideMark/>
                                </w:tcPr>
                                <w:p w:rsidR="00AF45DC" w:rsidRPr="00A34CCF" w:rsidRDefault="00AF45DC" w:rsidP="005F4538">
                                  <w:pPr>
                                    <w:spacing w:after="0" w:line="240" w:lineRule="auto"/>
                                    <w:jc w:val="center"/>
                                    <w:rPr>
                                      <w:rFonts w:ascii="Calibri" w:eastAsia="Times New Roman" w:hAnsi="Calibri" w:cs="Times New Roman"/>
                                      <w:color w:val="000000"/>
                                      <w:sz w:val="24"/>
                                      <w:szCs w:val="24"/>
                                    </w:rPr>
                                  </w:pPr>
                                  <w:r w:rsidRPr="00A34CCF">
                                    <w:rPr>
                                      <w:rFonts w:ascii="Calibri" w:eastAsia="Times New Roman" w:hAnsi="Calibri" w:cs="Times New Roman"/>
                                      <w:color w:val="000000"/>
                                      <w:sz w:val="24"/>
                                      <w:szCs w:val="24"/>
                                    </w:rPr>
                                    <w:t xml:space="preserve">$9,862 </w:t>
                                  </w:r>
                                </w:p>
                              </w:tc>
                              <w:tc>
                                <w:tcPr>
                                  <w:tcW w:w="1800" w:type="dxa"/>
                                  <w:tcBorders>
                                    <w:top w:val="nil"/>
                                    <w:left w:val="nil"/>
                                    <w:bottom w:val="single" w:sz="8" w:space="0" w:color="BFBFBF"/>
                                    <w:right w:val="single" w:sz="8" w:space="0" w:color="BFBFBF"/>
                                  </w:tcBorders>
                                  <w:shd w:val="clear" w:color="000000" w:fill="F2F2F2"/>
                                  <w:noWrap/>
                                  <w:vAlign w:val="center"/>
                                  <w:hideMark/>
                                </w:tcPr>
                                <w:p w:rsidR="00AF45DC" w:rsidRPr="00A34CCF" w:rsidRDefault="00AF45DC" w:rsidP="005F4538">
                                  <w:pPr>
                                    <w:spacing w:after="0" w:line="240" w:lineRule="auto"/>
                                    <w:jc w:val="center"/>
                                    <w:rPr>
                                      <w:rFonts w:ascii="Calibri" w:eastAsia="Times New Roman" w:hAnsi="Calibri" w:cs="Times New Roman"/>
                                      <w:color w:val="000000"/>
                                      <w:sz w:val="24"/>
                                      <w:szCs w:val="24"/>
                                    </w:rPr>
                                  </w:pPr>
                                  <w:r w:rsidRPr="00A34CCF">
                                    <w:rPr>
                                      <w:rFonts w:ascii="Calibri" w:eastAsia="Times New Roman" w:hAnsi="Calibri" w:cs="Times New Roman"/>
                                      <w:color w:val="000000"/>
                                      <w:sz w:val="24"/>
                                      <w:szCs w:val="24"/>
                                    </w:rPr>
                                    <w:t>2.2</w:t>
                                  </w:r>
                                </w:p>
                              </w:tc>
                            </w:tr>
                            <w:tr w:rsidR="00AF45DC" w:rsidRPr="00B416A3" w:rsidTr="00174856">
                              <w:trPr>
                                <w:trHeight w:val="430"/>
                              </w:trPr>
                              <w:tc>
                                <w:tcPr>
                                  <w:tcW w:w="1530" w:type="dxa"/>
                                  <w:tcBorders>
                                    <w:top w:val="nil"/>
                                    <w:left w:val="single" w:sz="8" w:space="0" w:color="BFBFBF"/>
                                    <w:bottom w:val="single" w:sz="8" w:space="0" w:color="BFBFBF"/>
                                    <w:right w:val="single" w:sz="8" w:space="0" w:color="BFBFBF"/>
                                  </w:tcBorders>
                                  <w:shd w:val="clear" w:color="auto" w:fill="auto"/>
                                  <w:noWrap/>
                                  <w:vAlign w:val="center"/>
                                  <w:hideMark/>
                                </w:tcPr>
                                <w:p w:rsidR="00AF45DC" w:rsidRPr="00A34CCF" w:rsidRDefault="00AF45DC" w:rsidP="005F4538">
                                  <w:pPr>
                                    <w:spacing w:after="0" w:line="240" w:lineRule="auto"/>
                                    <w:jc w:val="center"/>
                                    <w:rPr>
                                      <w:rFonts w:ascii="Calibri" w:eastAsia="Times New Roman" w:hAnsi="Calibri" w:cs="Times New Roman"/>
                                      <w:color w:val="000000"/>
                                      <w:sz w:val="24"/>
                                      <w:szCs w:val="24"/>
                                    </w:rPr>
                                  </w:pPr>
                                  <w:r w:rsidRPr="00A34CCF">
                                    <w:rPr>
                                      <w:rFonts w:ascii="Calibri" w:eastAsia="Times New Roman" w:hAnsi="Calibri" w:cs="Times New Roman"/>
                                      <w:color w:val="000000"/>
                                      <w:sz w:val="24"/>
                                      <w:szCs w:val="24"/>
                                    </w:rPr>
                                    <w:t>2015</w:t>
                                  </w:r>
                                </w:p>
                              </w:tc>
                              <w:tc>
                                <w:tcPr>
                                  <w:tcW w:w="2700" w:type="dxa"/>
                                  <w:tcBorders>
                                    <w:top w:val="nil"/>
                                    <w:left w:val="nil"/>
                                    <w:bottom w:val="single" w:sz="8" w:space="0" w:color="BFBFBF"/>
                                    <w:right w:val="single" w:sz="8" w:space="0" w:color="BFBFBF"/>
                                  </w:tcBorders>
                                  <w:shd w:val="clear" w:color="auto" w:fill="auto"/>
                                  <w:noWrap/>
                                  <w:vAlign w:val="center"/>
                                  <w:hideMark/>
                                </w:tcPr>
                                <w:p w:rsidR="00AF45DC" w:rsidRPr="00A34CCF" w:rsidRDefault="00AF45DC" w:rsidP="005F4538">
                                  <w:pPr>
                                    <w:spacing w:after="0" w:line="240" w:lineRule="auto"/>
                                    <w:jc w:val="center"/>
                                    <w:rPr>
                                      <w:rFonts w:ascii="Calibri" w:eastAsia="Times New Roman" w:hAnsi="Calibri" w:cs="Times New Roman"/>
                                      <w:color w:val="000000"/>
                                      <w:sz w:val="24"/>
                                      <w:szCs w:val="24"/>
                                    </w:rPr>
                                  </w:pPr>
                                  <w:r w:rsidRPr="00A34CCF">
                                    <w:rPr>
                                      <w:rFonts w:ascii="Calibri" w:eastAsia="Times New Roman" w:hAnsi="Calibri" w:cs="Times New Roman"/>
                                      <w:color w:val="000000"/>
                                      <w:sz w:val="24"/>
                                      <w:szCs w:val="24"/>
                                    </w:rPr>
                                    <w:t xml:space="preserve">$10,191 </w:t>
                                  </w:r>
                                </w:p>
                              </w:tc>
                              <w:tc>
                                <w:tcPr>
                                  <w:tcW w:w="1800" w:type="dxa"/>
                                  <w:tcBorders>
                                    <w:top w:val="nil"/>
                                    <w:left w:val="nil"/>
                                    <w:bottom w:val="single" w:sz="8" w:space="0" w:color="BFBFBF"/>
                                    <w:right w:val="single" w:sz="8" w:space="0" w:color="BFBFBF"/>
                                  </w:tcBorders>
                                  <w:shd w:val="clear" w:color="auto" w:fill="auto"/>
                                  <w:noWrap/>
                                  <w:vAlign w:val="center"/>
                                  <w:hideMark/>
                                </w:tcPr>
                                <w:p w:rsidR="00AF45DC" w:rsidRPr="00A34CCF" w:rsidRDefault="00AF45DC" w:rsidP="005F4538">
                                  <w:pPr>
                                    <w:spacing w:after="0" w:line="240" w:lineRule="auto"/>
                                    <w:jc w:val="center"/>
                                    <w:rPr>
                                      <w:rFonts w:ascii="Calibri" w:eastAsia="Times New Roman" w:hAnsi="Calibri" w:cs="Times New Roman"/>
                                      <w:color w:val="000000"/>
                                      <w:sz w:val="24"/>
                                      <w:szCs w:val="24"/>
                                    </w:rPr>
                                  </w:pPr>
                                  <w:r w:rsidRPr="00A34CCF">
                                    <w:rPr>
                                      <w:rFonts w:ascii="Calibri" w:eastAsia="Times New Roman" w:hAnsi="Calibri" w:cs="Times New Roman"/>
                                      <w:color w:val="000000"/>
                                      <w:sz w:val="24"/>
                                      <w:szCs w:val="24"/>
                                    </w:rPr>
                                    <w:t>3.3</w:t>
                                  </w:r>
                                </w:p>
                              </w:tc>
                            </w:tr>
                            <w:tr w:rsidR="00AF45DC" w:rsidRPr="00B416A3" w:rsidTr="00174856">
                              <w:trPr>
                                <w:trHeight w:val="430"/>
                              </w:trPr>
                              <w:tc>
                                <w:tcPr>
                                  <w:tcW w:w="1530" w:type="dxa"/>
                                  <w:tcBorders>
                                    <w:top w:val="nil"/>
                                    <w:left w:val="single" w:sz="8" w:space="0" w:color="BFBFBF"/>
                                    <w:bottom w:val="single" w:sz="8" w:space="0" w:color="BFBFBF"/>
                                    <w:right w:val="single" w:sz="8" w:space="0" w:color="BFBFBF"/>
                                  </w:tcBorders>
                                  <w:shd w:val="clear" w:color="000000" w:fill="F2F2F2"/>
                                  <w:noWrap/>
                                  <w:vAlign w:val="center"/>
                                  <w:hideMark/>
                                </w:tcPr>
                                <w:p w:rsidR="00AF45DC" w:rsidRPr="00A34CCF" w:rsidRDefault="00AF45DC" w:rsidP="005F4538">
                                  <w:pPr>
                                    <w:spacing w:after="0" w:line="240" w:lineRule="auto"/>
                                    <w:jc w:val="center"/>
                                    <w:rPr>
                                      <w:rFonts w:ascii="Calibri" w:eastAsia="Times New Roman" w:hAnsi="Calibri" w:cs="Times New Roman"/>
                                      <w:color w:val="000000"/>
                                      <w:sz w:val="24"/>
                                      <w:szCs w:val="24"/>
                                    </w:rPr>
                                  </w:pPr>
                                  <w:r w:rsidRPr="00A34CCF">
                                    <w:rPr>
                                      <w:rFonts w:ascii="Calibri" w:eastAsia="Times New Roman" w:hAnsi="Calibri" w:cs="Times New Roman"/>
                                      <w:color w:val="000000"/>
                                      <w:sz w:val="24"/>
                                      <w:szCs w:val="24"/>
                                    </w:rPr>
                                    <w:t>2016</w:t>
                                  </w:r>
                                </w:p>
                              </w:tc>
                              <w:tc>
                                <w:tcPr>
                                  <w:tcW w:w="2700" w:type="dxa"/>
                                  <w:tcBorders>
                                    <w:top w:val="nil"/>
                                    <w:left w:val="nil"/>
                                    <w:bottom w:val="single" w:sz="8" w:space="0" w:color="BFBFBF"/>
                                    <w:right w:val="single" w:sz="8" w:space="0" w:color="BFBFBF"/>
                                  </w:tcBorders>
                                  <w:shd w:val="clear" w:color="000000" w:fill="F2F2F2"/>
                                  <w:noWrap/>
                                  <w:vAlign w:val="center"/>
                                  <w:hideMark/>
                                </w:tcPr>
                                <w:p w:rsidR="00AF45DC" w:rsidRPr="00A34CCF" w:rsidRDefault="00AF45DC" w:rsidP="005F4538">
                                  <w:pPr>
                                    <w:spacing w:after="0" w:line="240" w:lineRule="auto"/>
                                    <w:jc w:val="center"/>
                                    <w:rPr>
                                      <w:rFonts w:ascii="Calibri" w:eastAsia="Times New Roman" w:hAnsi="Calibri" w:cs="Times New Roman"/>
                                      <w:color w:val="000000"/>
                                      <w:sz w:val="24"/>
                                      <w:szCs w:val="24"/>
                                    </w:rPr>
                                  </w:pPr>
                                  <w:r w:rsidRPr="00A34CCF">
                                    <w:rPr>
                                      <w:rFonts w:ascii="Calibri" w:eastAsia="Times New Roman" w:hAnsi="Calibri" w:cs="Times New Roman"/>
                                      <w:color w:val="000000"/>
                                      <w:sz w:val="24"/>
                                      <w:szCs w:val="24"/>
                                    </w:rPr>
                                    <w:t xml:space="preserve">$10,586 </w:t>
                                  </w:r>
                                </w:p>
                              </w:tc>
                              <w:tc>
                                <w:tcPr>
                                  <w:tcW w:w="1800" w:type="dxa"/>
                                  <w:tcBorders>
                                    <w:top w:val="nil"/>
                                    <w:left w:val="nil"/>
                                    <w:bottom w:val="single" w:sz="8" w:space="0" w:color="BFBFBF"/>
                                    <w:right w:val="single" w:sz="8" w:space="0" w:color="BFBFBF"/>
                                  </w:tcBorders>
                                  <w:shd w:val="clear" w:color="000000" w:fill="F2F2F2"/>
                                  <w:noWrap/>
                                  <w:vAlign w:val="center"/>
                                  <w:hideMark/>
                                </w:tcPr>
                                <w:p w:rsidR="00AF45DC" w:rsidRPr="00A34CCF" w:rsidRDefault="00AF45DC" w:rsidP="005F4538">
                                  <w:pPr>
                                    <w:spacing w:after="0" w:line="240" w:lineRule="auto"/>
                                    <w:jc w:val="center"/>
                                    <w:rPr>
                                      <w:rFonts w:ascii="Calibri" w:eastAsia="Times New Roman" w:hAnsi="Calibri" w:cs="Times New Roman"/>
                                      <w:color w:val="000000"/>
                                      <w:sz w:val="24"/>
                                      <w:szCs w:val="24"/>
                                    </w:rPr>
                                  </w:pPr>
                                  <w:r w:rsidRPr="00A34CCF">
                                    <w:rPr>
                                      <w:rFonts w:ascii="Calibri" w:eastAsia="Times New Roman" w:hAnsi="Calibri" w:cs="Times New Roman"/>
                                      <w:color w:val="000000"/>
                                      <w:sz w:val="24"/>
                                      <w:szCs w:val="24"/>
                                    </w:rPr>
                                    <w:t>3.9</w:t>
                                  </w:r>
                                </w:p>
                              </w:tc>
                            </w:tr>
                            <w:tr w:rsidR="00AF45DC" w:rsidRPr="00B416A3" w:rsidTr="00174856">
                              <w:trPr>
                                <w:trHeight w:val="390"/>
                              </w:trPr>
                              <w:tc>
                                <w:tcPr>
                                  <w:tcW w:w="4230" w:type="dxa"/>
                                  <w:gridSpan w:val="2"/>
                                  <w:tcBorders>
                                    <w:top w:val="nil"/>
                                    <w:left w:val="nil"/>
                                    <w:bottom w:val="nil"/>
                                    <w:right w:val="nil"/>
                                  </w:tcBorders>
                                  <w:shd w:val="clear" w:color="auto" w:fill="auto"/>
                                  <w:noWrap/>
                                  <w:vAlign w:val="center"/>
                                  <w:hideMark/>
                                </w:tcPr>
                                <w:p w:rsidR="00AF45DC" w:rsidRPr="00B416A3" w:rsidRDefault="00AF45DC" w:rsidP="005F4538">
                                  <w:pPr>
                                    <w:spacing w:after="0" w:line="240" w:lineRule="auto"/>
                                    <w:rPr>
                                      <w:rFonts w:ascii="Calibri" w:eastAsia="Times New Roman" w:hAnsi="Calibri" w:cs="Times New Roman"/>
                                      <w:color w:val="000000"/>
                                      <w:sz w:val="18"/>
                                      <w:szCs w:val="18"/>
                                    </w:rPr>
                                  </w:pPr>
                                  <w:r w:rsidRPr="00B416A3">
                                    <w:rPr>
                                      <w:rFonts w:ascii="Calibri" w:eastAsia="Times New Roman" w:hAnsi="Calibri" w:cs="Times New Roman"/>
                                      <w:color w:val="000000"/>
                                      <w:sz w:val="18"/>
                                      <w:szCs w:val="18"/>
                                    </w:rPr>
                                    <w:t>Source: U.S. Bureau of Economic Analysis</w:t>
                                  </w:r>
                                </w:p>
                              </w:tc>
                              <w:tc>
                                <w:tcPr>
                                  <w:tcW w:w="1800" w:type="dxa"/>
                                  <w:tcBorders>
                                    <w:top w:val="nil"/>
                                    <w:left w:val="nil"/>
                                    <w:bottom w:val="nil"/>
                                    <w:right w:val="nil"/>
                                  </w:tcBorders>
                                  <w:shd w:val="clear" w:color="auto" w:fill="auto"/>
                                  <w:noWrap/>
                                  <w:vAlign w:val="bottom"/>
                                  <w:hideMark/>
                                </w:tcPr>
                                <w:p w:rsidR="00AF45DC" w:rsidRPr="00B416A3" w:rsidRDefault="00AF45DC" w:rsidP="005F4538">
                                  <w:pPr>
                                    <w:spacing w:after="0" w:line="240" w:lineRule="auto"/>
                                    <w:rPr>
                                      <w:rFonts w:ascii="Calibri" w:eastAsia="Times New Roman" w:hAnsi="Calibri" w:cs="Times New Roman"/>
                                      <w:color w:val="000000"/>
                                      <w:sz w:val="18"/>
                                      <w:szCs w:val="18"/>
                                    </w:rPr>
                                  </w:pPr>
                                </w:p>
                              </w:tc>
                            </w:tr>
                          </w:tbl>
                          <w:p w:rsidR="00AF45DC" w:rsidRPr="00B416A3" w:rsidRDefault="00AF45D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pt;width:309.75pt;height:20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">
                <v:textbox>
                  <w:txbxContent>
                    <w:tbl>
                      <w:tblPr>
                        <w:tblW w:w="6030" w:type="dxa"/>
                        <w:tblLook w:val="04A0" w:firstRow="1" w:lastRow="0" w:firstColumn="1" w:lastColumn="0" w:noHBand="0" w:noVBand="1"/>
                      </w:tblPr>
                      <w:tblGrid>
                        <w:gridCol w:w="1530"/>
                        <w:gridCol w:w="2700"/>
                        <w:gridCol w:w="1800"/>
                      </w:tblGrid>
                      <w:tr w:rsidR="00AF45DC" w:rsidRPr="00B416A3" w:rsidTr="00174856">
                        <w:trPr>
                          <w:trHeight w:val="288"/>
                        </w:trPr>
                        <w:tc>
                          <w:tcPr>
                            <w:tcW w:w="6030" w:type="dxa"/>
                            <w:gridSpan w:val="3"/>
                            <w:tcBorders>
                              <w:top w:val="nil"/>
                              <w:left w:val="nil"/>
                              <w:bottom w:val="nil"/>
                              <w:right w:val="nil"/>
                            </w:tcBorders>
                            <w:shd w:val="clear" w:color="auto" w:fill="auto"/>
                            <w:noWrap/>
                            <w:vAlign w:val="center"/>
                            <w:hideMark/>
                          </w:tcPr>
                          <w:p w:rsidR="00AF45DC" w:rsidRPr="00F611E7" w:rsidRDefault="00AF45DC" w:rsidP="005F4538">
                            <w:pPr>
                              <w:spacing w:after="0" w:line="240" w:lineRule="auto"/>
                              <w:rPr>
                                <w:rFonts w:ascii="Calibri" w:eastAsia="Times New Roman" w:hAnsi="Calibri" w:cs="Times New Roman"/>
                                <w:b/>
                                <w:color w:val="000000"/>
                                <w:sz w:val="24"/>
                                <w:szCs w:val="24"/>
                              </w:rPr>
                            </w:pPr>
                            <w:r w:rsidRPr="00F611E7">
                              <w:rPr>
                                <w:rFonts w:ascii="Calibri" w:eastAsia="Times New Roman" w:hAnsi="Calibri" w:cs="Times New Roman"/>
                                <w:b/>
                                <w:color w:val="000000"/>
                                <w:sz w:val="24"/>
                                <w:szCs w:val="24"/>
                              </w:rPr>
                              <w:t xml:space="preserve">                                                 Table </w:t>
                            </w:r>
                            <w:r>
                              <w:rPr>
                                <w:rFonts w:ascii="Calibri" w:eastAsia="Times New Roman" w:hAnsi="Calibri" w:cs="Times New Roman"/>
                                <w:b/>
                                <w:color w:val="000000"/>
                                <w:sz w:val="24"/>
                                <w:szCs w:val="24"/>
                              </w:rPr>
                              <w:t>3</w:t>
                            </w:r>
                          </w:p>
                        </w:tc>
                      </w:tr>
                      <w:tr w:rsidR="00AF45DC" w:rsidRPr="00B416A3" w:rsidTr="00174856">
                        <w:trPr>
                          <w:trHeight w:val="288"/>
                        </w:trPr>
                        <w:tc>
                          <w:tcPr>
                            <w:tcW w:w="6030" w:type="dxa"/>
                            <w:gridSpan w:val="3"/>
                            <w:tcBorders>
                              <w:top w:val="nil"/>
                              <w:left w:val="nil"/>
                              <w:bottom w:val="single" w:sz="8" w:space="0" w:color="BFBFBF"/>
                              <w:right w:val="nil"/>
                            </w:tcBorders>
                            <w:shd w:val="clear" w:color="auto" w:fill="auto"/>
                            <w:noWrap/>
                            <w:vAlign w:val="center"/>
                            <w:hideMark/>
                          </w:tcPr>
                          <w:p w:rsidR="00AF45DC" w:rsidRPr="00F611E7" w:rsidRDefault="00AF45DC" w:rsidP="005F4538">
                            <w:pPr>
                              <w:spacing w:after="0" w:line="240" w:lineRule="auto"/>
                              <w:rPr>
                                <w:rFonts w:ascii="Calibri" w:eastAsia="Times New Roman" w:hAnsi="Calibri" w:cs="Times New Roman"/>
                                <w:b/>
                                <w:color w:val="000000"/>
                                <w:sz w:val="24"/>
                                <w:szCs w:val="24"/>
                              </w:rPr>
                            </w:pPr>
                            <w:r w:rsidRPr="00F611E7">
                              <w:rPr>
                                <w:rFonts w:ascii="Calibri" w:eastAsia="Times New Roman" w:hAnsi="Calibri" w:cs="Times New Roman"/>
                                <w:b/>
                                <w:color w:val="000000"/>
                                <w:sz w:val="24"/>
                                <w:szCs w:val="24"/>
                              </w:rPr>
                              <w:t xml:space="preserve">            Real Gross Domestic Product in Waco Metro Area</w:t>
                            </w:r>
                          </w:p>
                          <w:p w:rsidR="00AF45DC" w:rsidRPr="00F611E7" w:rsidRDefault="00AF45DC" w:rsidP="005F4538">
                            <w:pPr>
                              <w:spacing w:after="0" w:line="240" w:lineRule="auto"/>
                              <w:rPr>
                                <w:rFonts w:ascii="Calibri" w:eastAsia="Times New Roman" w:hAnsi="Calibri" w:cs="Times New Roman"/>
                                <w:b/>
                                <w:color w:val="000000"/>
                                <w:sz w:val="16"/>
                                <w:szCs w:val="16"/>
                              </w:rPr>
                            </w:pPr>
                          </w:p>
                        </w:tc>
                      </w:tr>
                      <w:tr w:rsidR="00AF45DC" w:rsidRPr="00B416A3" w:rsidTr="00174856">
                        <w:trPr>
                          <w:trHeight w:val="288"/>
                        </w:trPr>
                        <w:tc>
                          <w:tcPr>
                            <w:tcW w:w="1530" w:type="dxa"/>
                            <w:vMerge w:val="restart"/>
                            <w:tcBorders>
                              <w:top w:val="nil"/>
                              <w:left w:val="single" w:sz="8" w:space="0" w:color="BFBFBF"/>
                              <w:bottom w:val="single" w:sz="8" w:space="0" w:color="BFBFBF"/>
                              <w:right w:val="single" w:sz="8" w:space="0" w:color="BFBFBF"/>
                            </w:tcBorders>
                            <w:shd w:val="clear" w:color="auto" w:fill="auto"/>
                            <w:noWrap/>
                            <w:vAlign w:val="center"/>
                            <w:hideMark/>
                          </w:tcPr>
                          <w:p w:rsidR="00AF45DC" w:rsidRPr="00A34CCF" w:rsidRDefault="00AF45DC" w:rsidP="005F4538">
                            <w:pPr>
                              <w:spacing w:after="0" w:line="240" w:lineRule="auto"/>
                              <w:jc w:val="center"/>
                              <w:rPr>
                                <w:rFonts w:ascii="Calibri" w:eastAsia="Times New Roman" w:hAnsi="Calibri" w:cs="Times New Roman"/>
                                <w:color w:val="000000"/>
                                <w:sz w:val="24"/>
                                <w:szCs w:val="24"/>
                              </w:rPr>
                            </w:pPr>
                            <w:r w:rsidRPr="00A34CCF">
                              <w:rPr>
                                <w:rFonts w:ascii="Calibri" w:eastAsia="Times New Roman" w:hAnsi="Calibri" w:cs="Times New Roman"/>
                                <w:color w:val="000000"/>
                                <w:sz w:val="24"/>
                                <w:szCs w:val="24"/>
                              </w:rPr>
                              <w:t>Year</w:t>
                            </w:r>
                          </w:p>
                        </w:tc>
                        <w:tc>
                          <w:tcPr>
                            <w:tcW w:w="2700" w:type="dxa"/>
                            <w:tcBorders>
                              <w:top w:val="nil"/>
                              <w:left w:val="nil"/>
                              <w:bottom w:val="nil"/>
                              <w:right w:val="single" w:sz="8" w:space="0" w:color="BFBFBF"/>
                            </w:tcBorders>
                            <w:shd w:val="clear" w:color="auto" w:fill="auto"/>
                            <w:noWrap/>
                            <w:vAlign w:val="center"/>
                            <w:hideMark/>
                          </w:tcPr>
                          <w:p w:rsidR="00AF45DC" w:rsidRPr="00A34CCF" w:rsidRDefault="00AF45DC" w:rsidP="005F4538">
                            <w:pPr>
                              <w:spacing w:after="0" w:line="240" w:lineRule="auto"/>
                              <w:jc w:val="center"/>
                              <w:rPr>
                                <w:rFonts w:ascii="Calibri" w:eastAsia="Times New Roman" w:hAnsi="Calibri" w:cs="Times New Roman"/>
                                <w:color w:val="000000"/>
                                <w:sz w:val="24"/>
                                <w:szCs w:val="24"/>
                              </w:rPr>
                            </w:pPr>
                            <w:r w:rsidRPr="00A34CCF">
                              <w:rPr>
                                <w:rFonts w:ascii="Calibri" w:eastAsia="Times New Roman" w:hAnsi="Calibri" w:cs="Times New Roman"/>
                                <w:color w:val="000000"/>
                                <w:sz w:val="24"/>
                                <w:szCs w:val="24"/>
                              </w:rPr>
                              <w:t>Millions of Chained</w:t>
                            </w:r>
                          </w:p>
                        </w:tc>
                        <w:tc>
                          <w:tcPr>
                            <w:tcW w:w="1800" w:type="dxa"/>
                            <w:tcBorders>
                              <w:top w:val="nil"/>
                              <w:left w:val="nil"/>
                              <w:bottom w:val="nil"/>
                              <w:right w:val="single" w:sz="8" w:space="0" w:color="BFBFBF"/>
                            </w:tcBorders>
                            <w:shd w:val="clear" w:color="auto" w:fill="auto"/>
                            <w:noWrap/>
                            <w:vAlign w:val="center"/>
                            <w:hideMark/>
                          </w:tcPr>
                          <w:p w:rsidR="00AF45DC" w:rsidRPr="00A34CCF" w:rsidRDefault="00AF45DC" w:rsidP="005F4538">
                            <w:pPr>
                              <w:spacing w:after="0" w:line="240" w:lineRule="auto"/>
                              <w:jc w:val="center"/>
                              <w:rPr>
                                <w:rFonts w:ascii="Calibri" w:eastAsia="Times New Roman" w:hAnsi="Calibri" w:cs="Times New Roman"/>
                                <w:color w:val="000000"/>
                                <w:sz w:val="24"/>
                                <w:szCs w:val="24"/>
                              </w:rPr>
                            </w:pPr>
                            <w:r w:rsidRPr="00A34CCF">
                              <w:rPr>
                                <w:rFonts w:ascii="Calibri" w:eastAsia="Times New Roman" w:hAnsi="Calibri" w:cs="Times New Roman"/>
                                <w:color w:val="000000"/>
                                <w:sz w:val="24"/>
                                <w:szCs w:val="24"/>
                              </w:rPr>
                              <w:t>Annual Percent</w:t>
                            </w:r>
                          </w:p>
                        </w:tc>
                      </w:tr>
                      <w:tr w:rsidR="00AF45DC" w:rsidRPr="00B416A3" w:rsidTr="00174856">
                        <w:trPr>
                          <w:trHeight w:val="288"/>
                        </w:trPr>
                        <w:tc>
                          <w:tcPr>
                            <w:tcW w:w="1530" w:type="dxa"/>
                            <w:vMerge/>
                            <w:tcBorders>
                              <w:top w:val="nil"/>
                              <w:left w:val="single" w:sz="8" w:space="0" w:color="BFBFBF"/>
                              <w:bottom w:val="single" w:sz="8" w:space="0" w:color="BFBFBF"/>
                              <w:right w:val="single" w:sz="8" w:space="0" w:color="BFBFBF"/>
                            </w:tcBorders>
                            <w:vAlign w:val="center"/>
                            <w:hideMark/>
                          </w:tcPr>
                          <w:p w:rsidR="00AF45DC" w:rsidRPr="00A34CCF" w:rsidRDefault="00AF45DC" w:rsidP="005F4538">
                            <w:pPr>
                              <w:spacing w:after="0" w:line="240" w:lineRule="auto"/>
                              <w:rPr>
                                <w:rFonts w:ascii="Calibri" w:eastAsia="Times New Roman" w:hAnsi="Calibri" w:cs="Times New Roman"/>
                                <w:color w:val="000000"/>
                                <w:sz w:val="24"/>
                                <w:szCs w:val="24"/>
                              </w:rPr>
                            </w:pPr>
                          </w:p>
                        </w:tc>
                        <w:tc>
                          <w:tcPr>
                            <w:tcW w:w="2700" w:type="dxa"/>
                            <w:tcBorders>
                              <w:top w:val="nil"/>
                              <w:left w:val="nil"/>
                              <w:bottom w:val="single" w:sz="8" w:space="0" w:color="BFBFBF"/>
                              <w:right w:val="single" w:sz="8" w:space="0" w:color="BFBFBF"/>
                            </w:tcBorders>
                            <w:shd w:val="clear" w:color="auto" w:fill="auto"/>
                            <w:noWrap/>
                            <w:vAlign w:val="center"/>
                            <w:hideMark/>
                          </w:tcPr>
                          <w:p w:rsidR="00AF45DC" w:rsidRPr="00A34CCF" w:rsidRDefault="00AF45DC" w:rsidP="005F4538">
                            <w:pPr>
                              <w:spacing w:after="0" w:line="240" w:lineRule="auto"/>
                              <w:jc w:val="center"/>
                              <w:rPr>
                                <w:rFonts w:ascii="Calibri" w:eastAsia="Times New Roman" w:hAnsi="Calibri" w:cs="Times New Roman"/>
                                <w:color w:val="000000"/>
                                <w:sz w:val="24"/>
                                <w:szCs w:val="24"/>
                              </w:rPr>
                            </w:pPr>
                            <w:r w:rsidRPr="00A34CCF">
                              <w:rPr>
                                <w:rFonts w:ascii="Calibri" w:eastAsia="Times New Roman" w:hAnsi="Calibri" w:cs="Times New Roman"/>
                                <w:color w:val="000000"/>
                                <w:sz w:val="24"/>
                                <w:szCs w:val="24"/>
                              </w:rPr>
                              <w:t>(2009) Dollars</w:t>
                            </w:r>
                          </w:p>
                        </w:tc>
                        <w:tc>
                          <w:tcPr>
                            <w:tcW w:w="1800" w:type="dxa"/>
                            <w:tcBorders>
                              <w:top w:val="nil"/>
                              <w:left w:val="nil"/>
                              <w:bottom w:val="single" w:sz="8" w:space="0" w:color="BFBFBF"/>
                              <w:right w:val="single" w:sz="8" w:space="0" w:color="BFBFBF"/>
                            </w:tcBorders>
                            <w:shd w:val="clear" w:color="auto" w:fill="auto"/>
                            <w:noWrap/>
                            <w:vAlign w:val="center"/>
                            <w:hideMark/>
                          </w:tcPr>
                          <w:p w:rsidR="00AF45DC" w:rsidRPr="00A34CCF" w:rsidRDefault="00AF45DC" w:rsidP="005F4538">
                            <w:pPr>
                              <w:spacing w:after="0" w:line="240" w:lineRule="auto"/>
                              <w:jc w:val="center"/>
                              <w:rPr>
                                <w:rFonts w:ascii="Calibri" w:eastAsia="Times New Roman" w:hAnsi="Calibri" w:cs="Times New Roman"/>
                                <w:color w:val="000000"/>
                                <w:sz w:val="24"/>
                                <w:szCs w:val="24"/>
                              </w:rPr>
                            </w:pPr>
                            <w:r w:rsidRPr="00A34CCF">
                              <w:rPr>
                                <w:rFonts w:ascii="Calibri" w:eastAsia="Times New Roman" w:hAnsi="Calibri" w:cs="Times New Roman"/>
                                <w:color w:val="000000"/>
                                <w:sz w:val="24"/>
                                <w:szCs w:val="24"/>
                              </w:rPr>
                              <w:t xml:space="preserve">Change </w:t>
                            </w:r>
                          </w:p>
                        </w:tc>
                      </w:tr>
                      <w:tr w:rsidR="00AF45DC" w:rsidRPr="00B416A3" w:rsidTr="00174856">
                        <w:trPr>
                          <w:trHeight w:val="358"/>
                        </w:trPr>
                        <w:tc>
                          <w:tcPr>
                            <w:tcW w:w="1530" w:type="dxa"/>
                            <w:tcBorders>
                              <w:top w:val="nil"/>
                              <w:left w:val="single" w:sz="8" w:space="0" w:color="BFBFBF"/>
                              <w:bottom w:val="single" w:sz="8" w:space="0" w:color="BFBFBF"/>
                              <w:right w:val="single" w:sz="8" w:space="0" w:color="BFBFBF"/>
                            </w:tcBorders>
                            <w:shd w:val="clear" w:color="000000" w:fill="F2F2F2"/>
                            <w:noWrap/>
                            <w:vAlign w:val="center"/>
                            <w:hideMark/>
                          </w:tcPr>
                          <w:p w:rsidR="00AF45DC" w:rsidRPr="00A34CCF" w:rsidRDefault="00AF45DC" w:rsidP="005F4538">
                            <w:pPr>
                              <w:spacing w:after="0" w:line="240" w:lineRule="auto"/>
                              <w:jc w:val="center"/>
                              <w:rPr>
                                <w:rFonts w:ascii="Calibri" w:eastAsia="Times New Roman" w:hAnsi="Calibri" w:cs="Times New Roman"/>
                                <w:color w:val="000000"/>
                                <w:sz w:val="24"/>
                                <w:szCs w:val="24"/>
                              </w:rPr>
                            </w:pPr>
                            <w:r w:rsidRPr="00A34CCF">
                              <w:rPr>
                                <w:rFonts w:ascii="Calibri" w:eastAsia="Times New Roman" w:hAnsi="Calibri" w:cs="Times New Roman"/>
                                <w:color w:val="000000"/>
                                <w:sz w:val="24"/>
                                <w:szCs w:val="24"/>
                              </w:rPr>
                              <w:t>2012</w:t>
                            </w:r>
                          </w:p>
                        </w:tc>
                        <w:tc>
                          <w:tcPr>
                            <w:tcW w:w="2700" w:type="dxa"/>
                            <w:tcBorders>
                              <w:top w:val="nil"/>
                              <w:left w:val="nil"/>
                              <w:bottom w:val="single" w:sz="8" w:space="0" w:color="BFBFBF"/>
                              <w:right w:val="single" w:sz="8" w:space="0" w:color="BFBFBF"/>
                            </w:tcBorders>
                            <w:shd w:val="clear" w:color="000000" w:fill="F2F2F2"/>
                            <w:noWrap/>
                            <w:vAlign w:val="center"/>
                            <w:hideMark/>
                          </w:tcPr>
                          <w:p w:rsidR="00AF45DC" w:rsidRPr="00A34CCF" w:rsidRDefault="00AF45DC" w:rsidP="005F4538">
                            <w:pPr>
                              <w:spacing w:after="0" w:line="240" w:lineRule="auto"/>
                              <w:jc w:val="center"/>
                              <w:rPr>
                                <w:rFonts w:ascii="Calibri" w:eastAsia="Times New Roman" w:hAnsi="Calibri" w:cs="Times New Roman"/>
                                <w:color w:val="000000"/>
                                <w:sz w:val="24"/>
                                <w:szCs w:val="24"/>
                              </w:rPr>
                            </w:pPr>
                            <w:r w:rsidRPr="00A34CCF">
                              <w:rPr>
                                <w:rFonts w:ascii="Calibri" w:eastAsia="Times New Roman" w:hAnsi="Calibri" w:cs="Times New Roman"/>
                                <w:color w:val="000000"/>
                                <w:sz w:val="24"/>
                                <w:szCs w:val="24"/>
                              </w:rPr>
                              <w:t xml:space="preserve">$9,302 </w:t>
                            </w:r>
                          </w:p>
                        </w:tc>
                        <w:tc>
                          <w:tcPr>
                            <w:tcW w:w="1800" w:type="dxa"/>
                            <w:tcBorders>
                              <w:top w:val="nil"/>
                              <w:left w:val="nil"/>
                              <w:bottom w:val="single" w:sz="8" w:space="0" w:color="BFBFBF"/>
                              <w:right w:val="single" w:sz="8" w:space="0" w:color="BFBFBF"/>
                            </w:tcBorders>
                            <w:shd w:val="clear" w:color="000000" w:fill="F2F2F2"/>
                            <w:noWrap/>
                            <w:vAlign w:val="center"/>
                            <w:hideMark/>
                          </w:tcPr>
                          <w:p w:rsidR="00AF45DC" w:rsidRPr="00A34CCF" w:rsidRDefault="00AF45DC" w:rsidP="005F4538">
                            <w:pPr>
                              <w:spacing w:after="0" w:line="240" w:lineRule="auto"/>
                              <w:jc w:val="center"/>
                              <w:rPr>
                                <w:rFonts w:ascii="Calibri" w:eastAsia="Times New Roman" w:hAnsi="Calibri" w:cs="Times New Roman"/>
                                <w:color w:val="000000"/>
                                <w:sz w:val="24"/>
                                <w:szCs w:val="24"/>
                              </w:rPr>
                            </w:pPr>
                            <w:r w:rsidRPr="00A34CCF">
                              <w:rPr>
                                <w:rFonts w:ascii="Calibri" w:eastAsia="Times New Roman" w:hAnsi="Calibri" w:cs="Times New Roman"/>
                                <w:color w:val="000000"/>
                                <w:sz w:val="24"/>
                                <w:szCs w:val="24"/>
                              </w:rPr>
                              <w:t>3.4</w:t>
                            </w:r>
                          </w:p>
                        </w:tc>
                      </w:tr>
                      <w:tr w:rsidR="00AF45DC" w:rsidRPr="00B416A3" w:rsidTr="00174856">
                        <w:trPr>
                          <w:trHeight w:val="430"/>
                        </w:trPr>
                        <w:tc>
                          <w:tcPr>
                            <w:tcW w:w="1530" w:type="dxa"/>
                            <w:tcBorders>
                              <w:top w:val="nil"/>
                              <w:left w:val="single" w:sz="8" w:space="0" w:color="BFBFBF"/>
                              <w:bottom w:val="single" w:sz="8" w:space="0" w:color="BFBFBF"/>
                              <w:right w:val="single" w:sz="8" w:space="0" w:color="BFBFBF"/>
                            </w:tcBorders>
                            <w:shd w:val="clear" w:color="auto" w:fill="auto"/>
                            <w:noWrap/>
                            <w:vAlign w:val="center"/>
                            <w:hideMark/>
                          </w:tcPr>
                          <w:p w:rsidR="00AF45DC" w:rsidRPr="00A34CCF" w:rsidRDefault="00AF45DC" w:rsidP="005F4538">
                            <w:pPr>
                              <w:spacing w:after="0" w:line="240" w:lineRule="auto"/>
                              <w:jc w:val="center"/>
                              <w:rPr>
                                <w:rFonts w:ascii="Calibri" w:eastAsia="Times New Roman" w:hAnsi="Calibri" w:cs="Times New Roman"/>
                                <w:color w:val="000000"/>
                                <w:sz w:val="24"/>
                                <w:szCs w:val="24"/>
                              </w:rPr>
                            </w:pPr>
                            <w:r w:rsidRPr="00A34CCF">
                              <w:rPr>
                                <w:rFonts w:ascii="Calibri" w:eastAsia="Times New Roman" w:hAnsi="Calibri" w:cs="Times New Roman"/>
                                <w:color w:val="000000"/>
                                <w:sz w:val="24"/>
                                <w:szCs w:val="24"/>
                              </w:rPr>
                              <w:t>2013</w:t>
                            </w:r>
                          </w:p>
                        </w:tc>
                        <w:tc>
                          <w:tcPr>
                            <w:tcW w:w="2700" w:type="dxa"/>
                            <w:tcBorders>
                              <w:top w:val="nil"/>
                              <w:left w:val="nil"/>
                              <w:bottom w:val="single" w:sz="8" w:space="0" w:color="BFBFBF"/>
                              <w:right w:val="single" w:sz="8" w:space="0" w:color="BFBFBF"/>
                            </w:tcBorders>
                            <w:shd w:val="clear" w:color="auto" w:fill="auto"/>
                            <w:noWrap/>
                            <w:vAlign w:val="center"/>
                            <w:hideMark/>
                          </w:tcPr>
                          <w:p w:rsidR="00AF45DC" w:rsidRPr="00A34CCF" w:rsidRDefault="00AF45DC" w:rsidP="005F4538">
                            <w:pPr>
                              <w:spacing w:after="0" w:line="240" w:lineRule="auto"/>
                              <w:jc w:val="center"/>
                              <w:rPr>
                                <w:rFonts w:ascii="Calibri" w:eastAsia="Times New Roman" w:hAnsi="Calibri" w:cs="Times New Roman"/>
                                <w:color w:val="000000"/>
                                <w:sz w:val="24"/>
                                <w:szCs w:val="24"/>
                              </w:rPr>
                            </w:pPr>
                            <w:r w:rsidRPr="00A34CCF">
                              <w:rPr>
                                <w:rFonts w:ascii="Calibri" w:eastAsia="Times New Roman" w:hAnsi="Calibri" w:cs="Times New Roman"/>
                                <w:color w:val="000000"/>
                                <w:sz w:val="24"/>
                                <w:szCs w:val="24"/>
                              </w:rPr>
                              <w:t xml:space="preserve">$9,650 </w:t>
                            </w:r>
                          </w:p>
                        </w:tc>
                        <w:tc>
                          <w:tcPr>
                            <w:tcW w:w="1800" w:type="dxa"/>
                            <w:tcBorders>
                              <w:top w:val="nil"/>
                              <w:left w:val="nil"/>
                              <w:bottom w:val="single" w:sz="8" w:space="0" w:color="BFBFBF"/>
                              <w:right w:val="single" w:sz="8" w:space="0" w:color="BFBFBF"/>
                            </w:tcBorders>
                            <w:shd w:val="clear" w:color="auto" w:fill="auto"/>
                            <w:noWrap/>
                            <w:vAlign w:val="center"/>
                            <w:hideMark/>
                          </w:tcPr>
                          <w:p w:rsidR="00AF45DC" w:rsidRPr="00A34CCF" w:rsidRDefault="00AF45DC" w:rsidP="005F4538">
                            <w:pPr>
                              <w:spacing w:after="0" w:line="240" w:lineRule="auto"/>
                              <w:jc w:val="center"/>
                              <w:rPr>
                                <w:rFonts w:ascii="Calibri" w:eastAsia="Times New Roman" w:hAnsi="Calibri" w:cs="Times New Roman"/>
                                <w:color w:val="000000"/>
                                <w:sz w:val="24"/>
                                <w:szCs w:val="24"/>
                              </w:rPr>
                            </w:pPr>
                            <w:r w:rsidRPr="00A34CCF">
                              <w:rPr>
                                <w:rFonts w:ascii="Calibri" w:eastAsia="Times New Roman" w:hAnsi="Calibri" w:cs="Times New Roman"/>
                                <w:color w:val="000000"/>
                                <w:sz w:val="24"/>
                                <w:szCs w:val="24"/>
                              </w:rPr>
                              <w:t>3.7</w:t>
                            </w:r>
                          </w:p>
                        </w:tc>
                      </w:tr>
                      <w:tr w:rsidR="00AF45DC" w:rsidRPr="00B416A3" w:rsidTr="00174856">
                        <w:trPr>
                          <w:trHeight w:val="430"/>
                        </w:trPr>
                        <w:tc>
                          <w:tcPr>
                            <w:tcW w:w="1530" w:type="dxa"/>
                            <w:tcBorders>
                              <w:top w:val="nil"/>
                              <w:left w:val="single" w:sz="8" w:space="0" w:color="BFBFBF"/>
                              <w:bottom w:val="single" w:sz="8" w:space="0" w:color="BFBFBF"/>
                              <w:right w:val="single" w:sz="8" w:space="0" w:color="BFBFBF"/>
                            </w:tcBorders>
                            <w:shd w:val="clear" w:color="000000" w:fill="F2F2F2"/>
                            <w:noWrap/>
                            <w:vAlign w:val="center"/>
                            <w:hideMark/>
                          </w:tcPr>
                          <w:p w:rsidR="00AF45DC" w:rsidRPr="00A34CCF" w:rsidRDefault="00AF45DC" w:rsidP="005F4538">
                            <w:pPr>
                              <w:spacing w:after="0" w:line="240" w:lineRule="auto"/>
                              <w:jc w:val="center"/>
                              <w:rPr>
                                <w:rFonts w:ascii="Calibri" w:eastAsia="Times New Roman" w:hAnsi="Calibri" w:cs="Times New Roman"/>
                                <w:color w:val="000000"/>
                                <w:sz w:val="24"/>
                                <w:szCs w:val="24"/>
                              </w:rPr>
                            </w:pPr>
                            <w:r w:rsidRPr="00A34CCF">
                              <w:rPr>
                                <w:rFonts w:ascii="Calibri" w:eastAsia="Times New Roman" w:hAnsi="Calibri" w:cs="Times New Roman"/>
                                <w:color w:val="000000"/>
                                <w:sz w:val="24"/>
                                <w:szCs w:val="24"/>
                              </w:rPr>
                              <w:t>2014</w:t>
                            </w:r>
                          </w:p>
                        </w:tc>
                        <w:tc>
                          <w:tcPr>
                            <w:tcW w:w="2700" w:type="dxa"/>
                            <w:tcBorders>
                              <w:top w:val="nil"/>
                              <w:left w:val="nil"/>
                              <w:bottom w:val="single" w:sz="8" w:space="0" w:color="BFBFBF"/>
                              <w:right w:val="single" w:sz="8" w:space="0" w:color="BFBFBF"/>
                            </w:tcBorders>
                            <w:shd w:val="clear" w:color="000000" w:fill="F2F2F2"/>
                            <w:noWrap/>
                            <w:vAlign w:val="center"/>
                            <w:hideMark/>
                          </w:tcPr>
                          <w:p w:rsidR="00AF45DC" w:rsidRPr="00A34CCF" w:rsidRDefault="00AF45DC" w:rsidP="005F4538">
                            <w:pPr>
                              <w:spacing w:after="0" w:line="240" w:lineRule="auto"/>
                              <w:jc w:val="center"/>
                              <w:rPr>
                                <w:rFonts w:ascii="Calibri" w:eastAsia="Times New Roman" w:hAnsi="Calibri" w:cs="Times New Roman"/>
                                <w:color w:val="000000"/>
                                <w:sz w:val="24"/>
                                <w:szCs w:val="24"/>
                              </w:rPr>
                            </w:pPr>
                            <w:r w:rsidRPr="00A34CCF">
                              <w:rPr>
                                <w:rFonts w:ascii="Calibri" w:eastAsia="Times New Roman" w:hAnsi="Calibri" w:cs="Times New Roman"/>
                                <w:color w:val="000000"/>
                                <w:sz w:val="24"/>
                                <w:szCs w:val="24"/>
                              </w:rPr>
                              <w:t xml:space="preserve">$9,862 </w:t>
                            </w:r>
                          </w:p>
                        </w:tc>
                        <w:tc>
                          <w:tcPr>
                            <w:tcW w:w="1800" w:type="dxa"/>
                            <w:tcBorders>
                              <w:top w:val="nil"/>
                              <w:left w:val="nil"/>
                              <w:bottom w:val="single" w:sz="8" w:space="0" w:color="BFBFBF"/>
                              <w:right w:val="single" w:sz="8" w:space="0" w:color="BFBFBF"/>
                            </w:tcBorders>
                            <w:shd w:val="clear" w:color="000000" w:fill="F2F2F2"/>
                            <w:noWrap/>
                            <w:vAlign w:val="center"/>
                            <w:hideMark/>
                          </w:tcPr>
                          <w:p w:rsidR="00AF45DC" w:rsidRPr="00A34CCF" w:rsidRDefault="00AF45DC" w:rsidP="005F4538">
                            <w:pPr>
                              <w:spacing w:after="0" w:line="240" w:lineRule="auto"/>
                              <w:jc w:val="center"/>
                              <w:rPr>
                                <w:rFonts w:ascii="Calibri" w:eastAsia="Times New Roman" w:hAnsi="Calibri" w:cs="Times New Roman"/>
                                <w:color w:val="000000"/>
                                <w:sz w:val="24"/>
                                <w:szCs w:val="24"/>
                              </w:rPr>
                            </w:pPr>
                            <w:r w:rsidRPr="00A34CCF">
                              <w:rPr>
                                <w:rFonts w:ascii="Calibri" w:eastAsia="Times New Roman" w:hAnsi="Calibri" w:cs="Times New Roman"/>
                                <w:color w:val="000000"/>
                                <w:sz w:val="24"/>
                                <w:szCs w:val="24"/>
                              </w:rPr>
                              <w:t>2.2</w:t>
                            </w:r>
                          </w:p>
                        </w:tc>
                      </w:tr>
                      <w:tr w:rsidR="00AF45DC" w:rsidRPr="00B416A3" w:rsidTr="00174856">
                        <w:trPr>
                          <w:trHeight w:val="430"/>
                        </w:trPr>
                        <w:tc>
                          <w:tcPr>
                            <w:tcW w:w="1530" w:type="dxa"/>
                            <w:tcBorders>
                              <w:top w:val="nil"/>
                              <w:left w:val="single" w:sz="8" w:space="0" w:color="BFBFBF"/>
                              <w:bottom w:val="single" w:sz="8" w:space="0" w:color="BFBFBF"/>
                              <w:right w:val="single" w:sz="8" w:space="0" w:color="BFBFBF"/>
                            </w:tcBorders>
                            <w:shd w:val="clear" w:color="auto" w:fill="auto"/>
                            <w:noWrap/>
                            <w:vAlign w:val="center"/>
                            <w:hideMark/>
                          </w:tcPr>
                          <w:p w:rsidR="00AF45DC" w:rsidRPr="00A34CCF" w:rsidRDefault="00AF45DC" w:rsidP="005F4538">
                            <w:pPr>
                              <w:spacing w:after="0" w:line="240" w:lineRule="auto"/>
                              <w:jc w:val="center"/>
                              <w:rPr>
                                <w:rFonts w:ascii="Calibri" w:eastAsia="Times New Roman" w:hAnsi="Calibri" w:cs="Times New Roman"/>
                                <w:color w:val="000000"/>
                                <w:sz w:val="24"/>
                                <w:szCs w:val="24"/>
                              </w:rPr>
                            </w:pPr>
                            <w:r w:rsidRPr="00A34CCF">
                              <w:rPr>
                                <w:rFonts w:ascii="Calibri" w:eastAsia="Times New Roman" w:hAnsi="Calibri" w:cs="Times New Roman"/>
                                <w:color w:val="000000"/>
                                <w:sz w:val="24"/>
                                <w:szCs w:val="24"/>
                              </w:rPr>
                              <w:t>2015</w:t>
                            </w:r>
                          </w:p>
                        </w:tc>
                        <w:tc>
                          <w:tcPr>
                            <w:tcW w:w="2700" w:type="dxa"/>
                            <w:tcBorders>
                              <w:top w:val="nil"/>
                              <w:left w:val="nil"/>
                              <w:bottom w:val="single" w:sz="8" w:space="0" w:color="BFBFBF"/>
                              <w:right w:val="single" w:sz="8" w:space="0" w:color="BFBFBF"/>
                            </w:tcBorders>
                            <w:shd w:val="clear" w:color="auto" w:fill="auto"/>
                            <w:noWrap/>
                            <w:vAlign w:val="center"/>
                            <w:hideMark/>
                          </w:tcPr>
                          <w:p w:rsidR="00AF45DC" w:rsidRPr="00A34CCF" w:rsidRDefault="00AF45DC" w:rsidP="005F4538">
                            <w:pPr>
                              <w:spacing w:after="0" w:line="240" w:lineRule="auto"/>
                              <w:jc w:val="center"/>
                              <w:rPr>
                                <w:rFonts w:ascii="Calibri" w:eastAsia="Times New Roman" w:hAnsi="Calibri" w:cs="Times New Roman"/>
                                <w:color w:val="000000"/>
                                <w:sz w:val="24"/>
                                <w:szCs w:val="24"/>
                              </w:rPr>
                            </w:pPr>
                            <w:r w:rsidRPr="00A34CCF">
                              <w:rPr>
                                <w:rFonts w:ascii="Calibri" w:eastAsia="Times New Roman" w:hAnsi="Calibri" w:cs="Times New Roman"/>
                                <w:color w:val="000000"/>
                                <w:sz w:val="24"/>
                                <w:szCs w:val="24"/>
                              </w:rPr>
                              <w:t xml:space="preserve">$10,191 </w:t>
                            </w:r>
                          </w:p>
                        </w:tc>
                        <w:tc>
                          <w:tcPr>
                            <w:tcW w:w="1800" w:type="dxa"/>
                            <w:tcBorders>
                              <w:top w:val="nil"/>
                              <w:left w:val="nil"/>
                              <w:bottom w:val="single" w:sz="8" w:space="0" w:color="BFBFBF"/>
                              <w:right w:val="single" w:sz="8" w:space="0" w:color="BFBFBF"/>
                            </w:tcBorders>
                            <w:shd w:val="clear" w:color="auto" w:fill="auto"/>
                            <w:noWrap/>
                            <w:vAlign w:val="center"/>
                            <w:hideMark/>
                          </w:tcPr>
                          <w:p w:rsidR="00AF45DC" w:rsidRPr="00A34CCF" w:rsidRDefault="00AF45DC" w:rsidP="005F4538">
                            <w:pPr>
                              <w:spacing w:after="0" w:line="240" w:lineRule="auto"/>
                              <w:jc w:val="center"/>
                              <w:rPr>
                                <w:rFonts w:ascii="Calibri" w:eastAsia="Times New Roman" w:hAnsi="Calibri" w:cs="Times New Roman"/>
                                <w:color w:val="000000"/>
                                <w:sz w:val="24"/>
                                <w:szCs w:val="24"/>
                              </w:rPr>
                            </w:pPr>
                            <w:r w:rsidRPr="00A34CCF">
                              <w:rPr>
                                <w:rFonts w:ascii="Calibri" w:eastAsia="Times New Roman" w:hAnsi="Calibri" w:cs="Times New Roman"/>
                                <w:color w:val="000000"/>
                                <w:sz w:val="24"/>
                                <w:szCs w:val="24"/>
                              </w:rPr>
                              <w:t>3.3</w:t>
                            </w:r>
                          </w:p>
                        </w:tc>
                      </w:tr>
                      <w:tr w:rsidR="00AF45DC" w:rsidRPr="00B416A3" w:rsidTr="00174856">
                        <w:trPr>
                          <w:trHeight w:val="430"/>
                        </w:trPr>
                        <w:tc>
                          <w:tcPr>
                            <w:tcW w:w="1530" w:type="dxa"/>
                            <w:tcBorders>
                              <w:top w:val="nil"/>
                              <w:left w:val="single" w:sz="8" w:space="0" w:color="BFBFBF"/>
                              <w:bottom w:val="single" w:sz="8" w:space="0" w:color="BFBFBF"/>
                              <w:right w:val="single" w:sz="8" w:space="0" w:color="BFBFBF"/>
                            </w:tcBorders>
                            <w:shd w:val="clear" w:color="000000" w:fill="F2F2F2"/>
                            <w:noWrap/>
                            <w:vAlign w:val="center"/>
                            <w:hideMark/>
                          </w:tcPr>
                          <w:p w:rsidR="00AF45DC" w:rsidRPr="00A34CCF" w:rsidRDefault="00AF45DC" w:rsidP="005F4538">
                            <w:pPr>
                              <w:spacing w:after="0" w:line="240" w:lineRule="auto"/>
                              <w:jc w:val="center"/>
                              <w:rPr>
                                <w:rFonts w:ascii="Calibri" w:eastAsia="Times New Roman" w:hAnsi="Calibri" w:cs="Times New Roman"/>
                                <w:color w:val="000000"/>
                                <w:sz w:val="24"/>
                                <w:szCs w:val="24"/>
                              </w:rPr>
                            </w:pPr>
                            <w:r w:rsidRPr="00A34CCF">
                              <w:rPr>
                                <w:rFonts w:ascii="Calibri" w:eastAsia="Times New Roman" w:hAnsi="Calibri" w:cs="Times New Roman"/>
                                <w:color w:val="000000"/>
                                <w:sz w:val="24"/>
                                <w:szCs w:val="24"/>
                              </w:rPr>
                              <w:t>2016</w:t>
                            </w:r>
                          </w:p>
                        </w:tc>
                        <w:tc>
                          <w:tcPr>
                            <w:tcW w:w="2700" w:type="dxa"/>
                            <w:tcBorders>
                              <w:top w:val="nil"/>
                              <w:left w:val="nil"/>
                              <w:bottom w:val="single" w:sz="8" w:space="0" w:color="BFBFBF"/>
                              <w:right w:val="single" w:sz="8" w:space="0" w:color="BFBFBF"/>
                            </w:tcBorders>
                            <w:shd w:val="clear" w:color="000000" w:fill="F2F2F2"/>
                            <w:noWrap/>
                            <w:vAlign w:val="center"/>
                            <w:hideMark/>
                          </w:tcPr>
                          <w:p w:rsidR="00AF45DC" w:rsidRPr="00A34CCF" w:rsidRDefault="00AF45DC" w:rsidP="005F4538">
                            <w:pPr>
                              <w:spacing w:after="0" w:line="240" w:lineRule="auto"/>
                              <w:jc w:val="center"/>
                              <w:rPr>
                                <w:rFonts w:ascii="Calibri" w:eastAsia="Times New Roman" w:hAnsi="Calibri" w:cs="Times New Roman"/>
                                <w:color w:val="000000"/>
                                <w:sz w:val="24"/>
                                <w:szCs w:val="24"/>
                              </w:rPr>
                            </w:pPr>
                            <w:r w:rsidRPr="00A34CCF">
                              <w:rPr>
                                <w:rFonts w:ascii="Calibri" w:eastAsia="Times New Roman" w:hAnsi="Calibri" w:cs="Times New Roman"/>
                                <w:color w:val="000000"/>
                                <w:sz w:val="24"/>
                                <w:szCs w:val="24"/>
                              </w:rPr>
                              <w:t xml:space="preserve">$10,586 </w:t>
                            </w:r>
                          </w:p>
                        </w:tc>
                        <w:tc>
                          <w:tcPr>
                            <w:tcW w:w="1800" w:type="dxa"/>
                            <w:tcBorders>
                              <w:top w:val="nil"/>
                              <w:left w:val="nil"/>
                              <w:bottom w:val="single" w:sz="8" w:space="0" w:color="BFBFBF"/>
                              <w:right w:val="single" w:sz="8" w:space="0" w:color="BFBFBF"/>
                            </w:tcBorders>
                            <w:shd w:val="clear" w:color="000000" w:fill="F2F2F2"/>
                            <w:noWrap/>
                            <w:vAlign w:val="center"/>
                            <w:hideMark/>
                          </w:tcPr>
                          <w:p w:rsidR="00AF45DC" w:rsidRPr="00A34CCF" w:rsidRDefault="00AF45DC" w:rsidP="005F4538">
                            <w:pPr>
                              <w:spacing w:after="0" w:line="240" w:lineRule="auto"/>
                              <w:jc w:val="center"/>
                              <w:rPr>
                                <w:rFonts w:ascii="Calibri" w:eastAsia="Times New Roman" w:hAnsi="Calibri" w:cs="Times New Roman"/>
                                <w:color w:val="000000"/>
                                <w:sz w:val="24"/>
                                <w:szCs w:val="24"/>
                              </w:rPr>
                            </w:pPr>
                            <w:r w:rsidRPr="00A34CCF">
                              <w:rPr>
                                <w:rFonts w:ascii="Calibri" w:eastAsia="Times New Roman" w:hAnsi="Calibri" w:cs="Times New Roman"/>
                                <w:color w:val="000000"/>
                                <w:sz w:val="24"/>
                                <w:szCs w:val="24"/>
                              </w:rPr>
                              <w:t>3.9</w:t>
                            </w:r>
                          </w:p>
                        </w:tc>
                      </w:tr>
                      <w:tr w:rsidR="00AF45DC" w:rsidRPr="00B416A3" w:rsidTr="00174856">
                        <w:trPr>
                          <w:trHeight w:val="390"/>
                        </w:trPr>
                        <w:tc>
                          <w:tcPr>
                            <w:tcW w:w="4230" w:type="dxa"/>
                            <w:gridSpan w:val="2"/>
                            <w:tcBorders>
                              <w:top w:val="nil"/>
                              <w:left w:val="nil"/>
                              <w:bottom w:val="nil"/>
                              <w:right w:val="nil"/>
                            </w:tcBorders>
                            <w:shd w:val="clear" w:color="auto" w:fill="auto"/>
                            <w:noWrap/>
                            <w:vAlign w:val="center"/>
                            <w:hideMark/>
                          </w:tcPr>
                          <w:p w:rsidR="00AF45DC" w:rsidRPr="00B416A3" w:rsidRDefault="00AF45DC" w:rsidP="005F4538">
                            <w:pPr>
                              <w:spacing w:after="0" w:line="240" w:lineRule="auto"/>
                              <w:rPr>
                                <w:rFonts w:ascii="Calibri" w:eastAsia="Times New Roman" w:hAnsi="Calibri" w:cs="Times New Roman"/>
                                <w:color w:val="000000"/>
                                <w:sz w:val="18"/>
                                <w:szCs w:val="18"/>
                              </w:rPr>
                            </w:pPr>
                            <w:r w:rsidRPr="00B416A3">
                              <w:rPr>
                                <w:rFonts w:ascii="Calibri" w:eastAsia="Times New Roman" w:hAnsi="Calibri" w:cs="Times New Roman"/>
                                <w:color w:val="000000"/>
                                <w:sz w:val="18"/>
                                <w:szCs w:val="18"/>
                              </w:rPr>
                              <w:t>Source: U.S. Bureau of Economic Analysis</w:t>
                            </w:r>
                          </w:p>
                        </w:tc>
                        <w:tc>
                          <w:tcPr>
                            <w:tcW w:w="1800" w:type="dxa"/>
                            <w:tcBorders>
                              <w:top w:val="nil"/>
                              <w:left w:val="nil"/>
                              <w:bottom w:val="nil"/>
                              <w:right w:val="nil"/>
                            </w:tcBorders>
                            <w:shd w:val="clear" w:color="auto" w:fill="auto"/>
                            <w:noWrap/>
                            <w:vAlign w:val="bottom"/>
                            <w:hideMark/>
                          </w:tcPr>
                          <w:p w:rsidR="00AF45DC" w:rsidRPr="00B416A3" w:rsidRDefault="00AF45DC" w:rsidP="005F4538">
                            <w:pPr>
                              <w:spacing w:after="0" w:line="240" w:lineRule="auto"/>
                              <w:rPr>
                                <w:rFonts w:ascii="Calibri" w:eastAsia="Times New Roman" w:hAnsi="Calibri" w:cs="Times New Roman"/>
                                <w:color w:val="000000"/>
                                <w:sz w:val="18"/>
                                <w:szCs w:val="18"/>
                              </w:rPr>
                            </w:pPr>
                          </w:p>
                        </w:tc>
                      </w:tr>
                    </w:tbl>
                    <w:p w:rsidR="00AF45DC" w:rsidRPr="00B416A3" w:rsidRDefault="00AF45DC">
                      <w:pPr>
                        <w:rPr>
                          <w:sz w:val="18"/>
                          <w:szCs w:val="18"/>
                        </w:rPr>
                      </w:pPr>
                    </w:p>
                  </w:txbxContent>
                </v:textbox>
                <w10:wrap type="square" anchorx="margin"/>
              </v:shape>
            </w:pict>
          </mc:Fallback>
        </mc:AlternateContent>
      </w:r>
      <w:r w:rsidR="001A2868" w:rsidRPr="001A2868">
        <w:rPr>
          <w:rFonts w:eastAsia="Times New Roman" w:cs="Tahoma"/>
          <w:sz w:val="24"/>
          <w:szCs w:val="24"/>
        </w:rPr>
        <w:t xml:space="preserve">Table </w:t>
      </w:r>
      <w:r w:rsidR="001A2868">
        <w:rPr>
          <w:rFonts w:eastAsia="Times New Roman" w:cs="Tahoma"/>
          <w:sz w:val="24"/>
          <w:szCs w:val="24"/>
        </w:rPr>
        <w:t>3</w:t>
      </w:r>
      <w:r w:rsidR="001A2868" w:rsidRPr="001A2868">
        <w:rPr>
          <w:rFonts w:eastAsia="Times New Roman" w:cs="Tahoma"/>
          <w:sz w:val="24"/>
          <w:szCs w:val="24"/>
        </w:rPr>
        <w:t xml:space="preserve"> shows that based on annual real </w:t>
      </w:r>
      <w:r w:rsidR="008F3E7B">
        <w:rPr>
          <w:rFonts w:eastAsia="Times New Roman" w:cs="Tahoma"/>
          <w:sz w:val="24"/>
          <w:szCs w:val="24"/>
        </w:rPr>
        <w:t xml:space="preserve">GDP measures </w:t>
      </w:r>
      <w:r w:rsidR="001A2868" w:rsidRPr="001A2868">
        <w:rPr>
          <w:rFonts w:eastAsia="Times New Roman" w:cs="Tahoma"/>
          <w:sz w:val="24"/>
          <w:szCs w:val="24"/>
        </w:rPr>
        <w:t xml:space="preserve">released on September </w:t>
      </w:r>
      <w:r w:rsidR="001A2868">
        <w:rPr>
          <w:rFonts w:eastAsia="Times New Roman" w:cs="Tahoma"/>
          <w:color w:val="333333"/>
          <w:sz w:val="24"/>
          <w:szCs w:val="24"/>
        </w:rPr>
        <w:t xml:space="preserve">20, 2017 </w:t>
      </w:r>
      <w:r w:rsidR="008F3E7B">
        <w:rPr>
          <w:rFonts w:eastAsia="Times New Roman" w:cs="Tahoma"/>
          <w:color w:val="333333"/>
          <w:sz w:val="24"/>
          <w:szCs w:val="24"/>
        </w:rPr>
        <w:t xml:space="preserve">by the U.S. Bureau of Economic Analysis </w:t>
      </w:r>
      <w:r w:rsidR="001A2868">
        <w:rPr>
          <w:rFonts w:eastAsia="Times New Roman" w:cs="Tahoma"/>
          <w:color w:val="333333"/>
          <w:sz w:val="24"/>
          <w:szCs w:val="24"/>
        </w:rPr>
        <w:t>Waco</w:t>
      </w:r>
      <w:r>
        <w:rPr>
          <w:rFonts w:eastAsia="Times New Roman" w:cs="Tahoma"/>
          <w:color w:val="333333"/>
          <w:sz w:val="24"/>
          <w:szCs w:val="24"/>
        </w:rPr>
        <w:t xml:space="preserve">’s </w:t>
      </w:r>
      <w:r w:rsidR="008F3E7B">
        <w:rPr>
          <w:rFonts w:eastAsia="Times New Roman" w:cs="Tahoma"/>
          <w:color w:val="333333"/>
          <w:sz w:val="24"/>
          <w:szCs w:val="24"/>
        </w:rPr>
        <w:t xml:space="preserve">2016 </w:t>
      </w:r>
      <w:r>
        <w:rPr>
          <w:rFonts w:eastAsia="Times New Roman" w:cs="Tahoma"/>
          <w:color w:val="333333"/>
          <w:sz w:val="24"/>
          <w:szCs w:val="24"/>
        </w:rPr>
        <w:t xml:space="preserve">growth </w:t>
      </w:r>
      <w:r w:rsidR="008F3E7B">
        <w:rPr>
          <w:rFonts w:eastAsia="Times New Roman" w:cs="Tahoma"/>
          <w:color w:val="333333"/>
          <w:sz w:val="24"/>
          <w:szCs w:val="24"/>
        </w:rPr>
        <w:t xml:space="preserve">of 3.9% </w:t>
      </w:r>
      <w:r>
        <w:rPr>
          <w:rFonts w:eastAsia="Times New Roman" w:cs="Tahoma"/>
          <w:color w:val="333333"/>
          <w:sz w:val="24"/>
          <w:szCs w:val="24"/>
        </w:rPr>
        <w:t xml:space="preserve">was </w:t>
      </w:r>
      <w:r w:rsidR="008F3E7B">
        <w:rPr>
          <w:rFonts w:eastAsia="Times New Roman" w:cs="Tahoma"/>
          <w:color w:val="333333"/>
          <w:sz w:val="24"/>
          <w:szCs w:val="24"/>
        </w:rPr>
        <w:t>its</w:t>
      </w:r>
      <w:r>
        <w:rPr>
          <w:rFonts w:eastAsia="Times New Roman" w:cs="Tahoma"/>
          <w:color w:val="333333"/>
          <w:sz w:val="24"/>
          <w:szCs w:val="24"/>
        </w:rPr>
        <w:t xml:space="preserve"> fastest rate over the past five years</w:t>
      </w:r>
      <w:r w:rsidR="008F3E7B">
        <w:rPr>
          <w:rFonts w:eastAsia="Times New Roman" w:cs="Tahoma"/>
          <w:color w:val="333333"/>
          <w:sz w:val="24"/>
          <w:szCs w:val="24"/>
        </w:rPr>
        <w:t xml:space="preserve">, </w:t>
      </w:r>
      <w:r w:rsidR="000664B8">
        <w:rPr>
          <w:rFonts w:eastAsia="Times New Roman" w:cs="Tahoma"/>
          <w:color w:val="333333"/>
          <w:sz w:val="24"/>
          <w:szCs w:val="24"/>
        </w:rPr>
        <w:t>rank</w:t>
      </w:r>
      <w:r w:rsidR="008F3E7B">
        <w:rPr>
          <w:rFonts w:eastAsia="Times New Roman" w:cs="Tahoma"/>
          <w:color w:val="333333"/>
          <w:sz w:val="24"/>
          <w:szCs w:val="24"/>
        </w:rPr>
        <w:t>ing</w:t>
      </w:r>
      <w:r w:rsidR="001A2868">
        <w:rPr>
          <w:rFonts w:eastAsia="Times New Roman" w:cs="Tahoma"/>
          <w:color w:val="333333"/>
          <w:sz w:val="24"/>
          <w:szCs w:val="24"/>
        </w:rPr>
        <w:t xml:space="preserve"> 41</w:t>
      </w:r>
      <w:r w:rsidR="001A2868" w:rsidRPr="005F4538">
        <w:rPr>
          <w:rFonts w:eastAsia="Times New Roman" w:cs="Tahoma"/>
          <w:color w:val="333333"/>
          <w:sz w:val="24"/>
          <w:szCs w:val="24"/>
          <w:vertAlign w:val="superscript"/>
        </w:rPr>
        <w:t>st</w:t>
      </w:r>
      <w:r w:rsidR="001A2868">
        <w:rPr>
          <w:rFonts w:eastAsia="Times New Roman" w:cs="Tahoma"/>
          <w:color w:val="333333"/>
          <w:sz w:val="24"/>
          <w:szCs w:val="24"/>
        </w:rPr>
        <w:t xml:space="preserve"> among all</w:t>
      </w:r>
      <w:r w:rsidR="000664B8">
        <w:rPr>
          <w:rFonts w:eastAsia="Times New Roman" w:cs="Tahoma"/>
          <w:color w:val="333333"/>
          <w:sz w:val="24"/>
          <w:szCs w:val="24"/>
        </w:rPr>
        <w:t xml:space="preserve"> 382</w:t>
      </w:r>
      <w:r w:rsidR="001A2868">
        <w:rPr>
          <w:rFonts w:eastAsia="Times New Roman" w:cs="Tahoma"/>
          <w:color w:val="333333"/>
          <w:sz w:val="24"/>
          <w:szCs w:val="24"/>
        </w:rPr>
        <w:t xml:space="preserve"> metro areas in the U.S. economy</w:t>
      </w:r>
      <w:r>
        <w:rPr>
          <w:rFonts w:eastAsia="Times New Roman" w:cs="Tahoma"/>
          <w:color w:val="333333"/>
          <w:sz w:val="24"/>
          <w:szCs w:val="24"/>
        </w:rPr>
        <w:t xml:space="preserve">.  </w:t>
      </w:r>
    </w:p>
    <w:p w:rsidR="0008211B" w:rsidRDefault="008F3E7B" w:rsidP="008F3E7B">
      <w:pPr>
        <w:shd w:val="clear" w:color="auto" w:fill="FFFFFF"/>
        <w:spacing w:after="0" w:line="300" w:lineRule="auto"/>
        <w:ind w:firstLine="720"/>
        <w:textAlignment w:val="baseline"/>
        <w:rPr>
          <w:rFonts w:cs="Tahoma"/>
          <w:noProof/>
          <w:sz w:val="24"/>
          <w:szCs w:val="24"/>
        </w:rPr>
      </w:pPr>
      <w:r w:rsidRPr="000664B8">
        <w:rPr>
          <w:rFonts w:cs="Tahoma"/>
          <w:noProof/>
          <w:sz w:val="24"/>
          <w:szCs w:val="24"/>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860424</wp:posOffset>
                </wp:positionV>
                <wp:extent cx="4191000" cy="431482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4314825"/>
                        </a:xfrm>
                        <a:prstGeom prst="rect">
                          <a:avLst/>
                        </a:prstGeom>
                        <a:solidFill>
                          <a:srgbClr val="FFFFFF"/>
                        </a:solidFill>
                        <a:ln w="9525">
                          <a:noFill/>
                          <a:miter lim="800000"/>
                          <a:headEnd/>
                          <a:tailEnd/>
                        </a:ln>
                      </wps:spPr>
                      <wps:txbx>
                        <w:txbxContent>
                          <w:p w:rsidR="00AF45DC" w:rsidRPr="00F611E7" w:rsidRDefault="00AF45DC" w:rsidP="00A34CCF">
                            <w:pPr>
                              <w:spacing w:after="0"/>
                              <w:jc w:val="center"/>
                              <w:rPr>
                                <w:b/>
                                <w:sz w:val="24"/>
                                <w:szCs w:val="24"/>
                              </w:rPr>
                            </w:pPr>
                            <w:r w:rsidRPr="00F611E7">
                              <w:rPr>
                                <w:b/>
                                <w:sz w:val="24"/>
                                <w:szCs w:val="24"/>
                              </w:rPr>
                              <w:t xml:space="preserve">Table </w:t>
                            </w:r>
                            <w:r>
                              <w:rPr>
                                <w:b/>
                                <w:sz w:val="24"/>
                                <w:szCs w:val="24"/>
                              </w:rPr>
                              <w:t>4</w:t>
                            </w:r>
                          </w:p>
                          <w:p w:rsidR="00AF45DC" w:rsidRPr="00F611E7" w:rsidRDefault="00AF45DC" w:rsidP="00A34CCF">
                            <w:pPr>
                              <w:spacing w:after="0"/>
                              <w:jc w:val="center"/>
                              <w:rPr>
                                <w:b/>
                                <w:sz w:val="24"/>
                                <w:szCs w:val="24"/>
                              </w:rPr>
                            </w:pPr>
                            <w:r w:rsidRPr="00F611E7">
                              <w:rPr>
                                <w:b/>
                                <w:sz w:val="24"/>
                                <w:szCs w:val="24"/>
                              </w:rPr>
                              <w:t>Percent Contribution to Waco’s 2016 Change in Real GDP</w:t>
                            </w:r>
                          </w:p>
                          <w:p w:rsidR="00AF45DC" w:rsidRPr="0008211B" w:rsidRDefault="00AF45DC" w:rsidP="00A34CCF">
                            <w:pPr>
                              <w:spacing w:after="0"/>
                              <w:rPr>
                                <w:b/>
                                <w:sz w:val="16"/>
                                <w:szCs w:val="16"/>
                              </w:rPr>
                            </w:pPr>
                          </w:p>
                          <w:tbl>
                            <w:tblPr>
                              <w:tblStyle w:val="PlainTable1"/>
                              <w:tblW w:w="6140" w:type="dxa"/>
                              <w:tblLook w:val="04A0" w:firstRow="1" w:lastRow="0" w:firstColumn="1" w:lastColumn="0" w:noHBand="0" w:noVBand="1"/>
                            </w:tblPr>
                            <w:tblGrid>
                              <w:gridCol w:w="4840"/>
                              <w:gridCol w:w="1300"/>
                            </w:tblGrid>
                            <w:tr w:rsidR="00AF45DC" w:rsidRPr="003259C4" w:rsidTr="00A34CCF">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840" w:type="dxa"/>
                                  <w:noWrap/>
                                  <w:hideMark/>
                                </w:tcPr>
                                <w:p w:rsidR="00AF45DC" w:rsidRPr="00B44040" w:rsidRDefault="00AF45DC" w:rsidP="00A34CCF">
                                  <w:pPr>
                                    <w:jc w:val="center"/>
                                    <w:rPr>
                                      <w:rFonts w:ascii="Calibri" w:eastAsia="Times New Roman" w:hAnsi="Calibri" w:cs="Times New Roman"/>
                                      <w:color w:val="000000"/>
                                    </w:rPr>
                                  </w:pPr>
                                  <w:r w:rsidRPr="00B44040">
                                    <w:rPr>
                                      <w:rFonts w:ascii="Calibri" w:eastAsia="Times New Roman" w:hAnsi="Calibri" w:cs="Times New Roman"/>
                                      <w:color w:val="000000"/>
                                    </w:rPr>
                                    <w:t>Contribution to Percent Change in 2016 Real GDP</w:t>
                                  </w:r>
                                </w:p>
                              </w:tc>
                              <w:tc>
                                <w:tcPr>
                                  <w:tcW w:w="1300" w:type="dxa"/>
                                  <w:noWrap/>
                                  <w:hideMark/>
                                </w:tcPr>
                                <w:p w:rsidR="00AF45DC" w:rsidRPr="00B44040" w:rsidRDefault="00AF45DC" w:rsidP="00A34CC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44040">
                                    <w:rPr>
                                      <w:rFonts w:ascii="Calibri" w:eastAsia="Times New Roman" w:hAnsi="Calibri" w:cs="Times New Roman"/>
                                      <w:color w:val="000000"/>
                                    </w:rPr>
                                    <w:t>Waco MSA</w:t>
                                  </w:r>
                                </w:p>
                              </w:tc>
                            </w:tr>
                            <w:tr w:rsidR="00AF45DC" w:rsidRPr="003259C4" w:rsidTr="00A34CC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840" w:type="dxa"/>
                                  <w:noWrap/>
                                  <w:hideMark/>
                                </w:tcPr>
                                <w:p w:rsidR="00AF45DC" w:rsidRPr="003259C4" w:rsidRDefault="00AF45DC" w:rsidP="00A34CCF">
                                  <w:pPr>
                                    <w:rPr>
                                      <w:rFonts w:ascii="Calibri" w:eastAsia="Times New Roman" w:hAnsi="Calibri" w:cs="Times New Roman"/>
                                      <w:b w:val="0"/>
                                      <w:color w:val="000000"/>
                                    </w:rPr>
                                  </w:pPr>
                                  <w:r w:rsidRPr="003259C4">
                                    <w:rPr>
                                      <w:rFonts w:ascii="Calibri" w:eastAsia="Times New Roman" w:hAnsi="Calibri" w:cs="Times New Roman"/>
                                      <w:b w:val="0"/>
                                      <w:color w:val="000000"/>
                                    </w:rPr>
                                    <w:t>Natural resources and mining</w:t>
                                  </w:r>
                                </w:p>
                              </w:tc>
                              <w:tc>
                                <w:tcPr>
                                  <w:tcW w:w="1300" w:type="dxa"/>
                                  <w:noWrap/>
                                  <w:hideMark/>
                                </w:tcPr>
                                <w:p w:rsidR="00AF45DC" w:rsidRPr="003259C4" w:rsidRDefault="00AF45DC" w:rsidP="004D22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259C4">
                                    <w:rPr>
                                      <w:rFonts w:ascii="Calibri" w:eastAsia="Times New Roman" w:hAnsi="Calibri" w:cs="Times New Roman"/>
                                      <w:color w:val="000000"/>
                                    </w:rPr>
                                    <w:t>-0.1</w:t>
                                  </w:r>
                                </w:p>
                              </w:tc>
                            </w:tr>
                            <w:tr w:rsidR="00AF45DC" w:rsidRPr="003259C4" w:rsidTr="00A34CCF">
                              <w:trPr>
                                <w:trHeight w:val="345"/>
                              </w:trPr>
                              <w:tc>
                                <w:tcPr>
                                  <w:cnfStyle w:val="001000000000" w:firstRow="0" w:lastRow="0" w:firstColumn="1" w:lastColumn="0" w:oddVBand="0" w:evenVBand="0" w:oddHBand="0" w:evenHBand="0" w:firstRowFirstColumn="0" w:firstRowLastColumn="0" w:lastRowFirstColumn="0" w:lastRowLastColumn="0"/>
                                  <w:tcW w:w="4840" w:type="dxa"/>
                                  <w:noWrap/>
                                  <w:hideMark/>
                                </w:tcPr>
                                <w:p w:rsidR="00AF45DC" w:rsidRPr="003259C4" w:rsidRDefault="00AF45DC" w:rsidP="00A34CCF">
                                  <w:pPr>
                                    <w:rPr>
                                      <w:rFonts w:ascii="Calibri" w:eastAsia="Times New Roman" w:hAnsi="Calibri" w:cs="Times New Roman"/>
                                      <w:b w:val="0"/>
                                      <w:color w:val="000000"/>
                                    </w:rPr>
                                  </w:pPr>
                                  <w:r w:rsidRPr="003259C4">
                                    <w:rPr>
                                      <w:rFonts w:ascii="Calibri" w:eastAsia="Times New Roman" w:hAnsi="Calibri" w:cs="Times New Roman"/>
                                      <w:b w:val="0"/>
                                      <w:color w:val="000000"/>
                                    </w:rPr>
                                    <w:t>Construction</w:t>
                                  </w:r>
                                </w:p>
                              </w:tc>
                              <w:tc>
                                <w:tcPr>
                                  <w:tcW w:w="1300" w:type="dxa"/>
                                  <w:noWrap/>
                                  <w:hideMark/>
                                </w:tcPr>
                                <w:p w:rsidR="00AF45DC" w:rsidRPr="003259C4" w:rsidRDefault="00AF45DC" w:rsidP="004D22D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259C4">
                                    <w:rPr>
                                      <w:rFonts w:ascii="Calibri" w:eastAsia="Times New Roman" w:hAnsi="Calibri" w:cs="Times New Roman"/>
                                      <w:color w:val="000000"/>
                                    </w:rPr>
                                    <w:t>0.5</w:t>
                                  </w:r>
                                </w:p>
                              </w:tc>
                            </w:tr>
                            <w:tr w:rsidR="00AF45DC" w:rsidRPr="003259C4" w:rsidTr="00A34CC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840" w:type="dxa"/>
                                  <w:noWrap/>
                                  <w:hideMark/>
                                </w:tcPr>
                                <w:p w:rsidR="00AF45DC" w:rsidRPr="003259C4" w:rsidRDefault="00AF45DC" w:rsidP="00A34CCF">
                                  <w:pPr>
                                    <w:rPr>
                                      <w:rFonts w:ascii="Calibri" w:eastAsia="Times New Roman" w:hAnsi="Calibri" w:cs="Times New Roman"/>
                                      <w:b w:val="0"/>
                                      <w:color w:val="000000"/>
                                    </w:rPr>
                                  </w:pPr>
                                  <w:r w:rsidRPr="003259C4">
                                    <w:rPr>
                                      <w:rFonts w:ascii="Calibri" w:eastAsia="Times New Roman" w:hAnsi="Calibri" w:cs="Times New Roman"/>
                                      <w:b w:val="0"/>
                                      <w:color w:val="000000"/>
                                    </w:rPr>
                                    <w:t>Durable goods manufacturing</w:t>
                                  </w:r>
                                </w:p>
                              </w:tc>
                              <w:tc>
                                <w:tcPr>
                                  <w:tcW w:w="1300" w:type="dxa"/>
                                  <w:noWrap/>
                                  <w:hideMark/>
                                </w:tcPr>
                                <w:p w:rsidR="00AF45DC" w:rsidRPr="003259C4" w:rsidRDefault="00AF45DC" w:rsidP="004D22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259C4">
                                    <w:rPr>
                                      <w:rFonts w:ascii="Calibri" w:eastAsia="Times New Roman" w:hAnsi="Calibri" w:cs="Times New Roman"/>
                                      <w:color w:val="000000"/>
                                    </w:rPr>
                                    <w:t>-0.3</w:t>
                                  </w:r>
                                </w:p>
                              </w:tc>
                            </w:tr>
                            <w:tr w:rsidR="00AF45DC" w:rsidRPr="003259C4" w:rsidTr="00A34CCF">
                              <w:trPr>
                                <w:trHeight w:val="345"/>
                              </w:trPr>
                              <w:tc>
                                <w:tcPr>
                                  <w:cnfStyle w:val="001000000000" w:firstRow="0" w:lastRow="0" w:firstColumn="1" w:lastColumn="0" w:oddVBand="0" w:evenVBand="0" w:oddHBand="0" w:evenHBand="0" w:firstRowFirstColumn="0" w:firstRowLastColumn="0" w:lastRowFirstColumn="0" w:lastRowLastColumn="0"/>
                                  <w:tcW w:w="4840" w:type="dxa"/>
                                  <w:noWrap/>
                                  <w:hideMark/>
                                </w:tcPr>
                                <w:p w:rsidR="00AF45DC" w:rsidRPr="003259C4" w:rsidRDefault="00AF45DC" w:rsidP="00A34CCF">
                                  <w:pPr>
                                    <w:rPr>
                                      <w:rFonts w:ascii="Calibri" w:eastAsia="Times New Roman" w:hAnsi="Calibri" w:cs="Times New Roman"/>
                                      <w:b w:val="0"/>
                                      <w:color w:val="000000"/>
                                    </w:rPr>
                                  </w:pPr>
                                  <w:r w:rsidRPr="003259C4">
                                    <w:rPr>
                                      <w:rFonts w:ascii="Calibri" w:eastAsia="Times New Roman" w:hAnsi="Calibri" w:cs="Times New Roman"/>
                                      <w:b w:val="0"/>
                                      <w:color w:val="000000"/>
                                    </w:rPr>
                                    <w:t>Nondurable goods manufacturing</w:t>
                                  </w:r>
                                </w:p>
                              </w:tc>
                              <w:tc>
                                <w:tcPr>
                                  <w:tcW w:w="1300" w:type="dxa"/>
                                  <w:noWrap/>
                                  <w:hideMark/>
                                </w:tcPr>
                                <w:p w:rsidR="00AF45DC" w:rsidRPr="003259C4" w:rsidRDefault="00AF45DC" w:rsidP="004D22D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259C4">
                                    <w:rPr>
                                      <w:rFonts w:ascii="Calibri" w:eastAsia="Times New Roman" w:hAnsi="Calibri" w:cs="Times New Roman"/>
                                      <w:color w:val="000000"/>
                                    </w:rPr>
                                    <w:t>0.3</w:t>
                                  </w:r>
                                </w:p>
                              </w:tc>
                            </w:tr>
                            <w:tr w:rsidR="00AF45DC" w:rsidRPr="003259C4" w:rsidTr="00A34CC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840" w:type="dxa"/>
                                  <w:noWrap/>
                                  <w:hideMark/>
                                </w:tcPr>
                                <w:p w:rsidR="00AF45DC" w:rsidRPr="003259C4" w:rsidRDefault="00AF45DC" w:rsidP="00A34CCF">
                                  <w:pPr>
                                    <w:rPr>
                                      <w:rFonts w:ascii="Calibri" w:eastAsia="Times New Roman" w:hAnsi="Calibri" w:cs="Times New Roman"/>
                                      <w:b w:val="0"/>
                                      <w:color w:val="000000"/>
                                    </w:rPr>
                                  </w:pPr>
                                  <w:r w:rsidRPr="003259C4">
                                    <w:rPr>
                                      <w:rFonts w:ascii="Calibri" w:eastAsia="Times New Roman" w:hAnsi="Calibri" w:cs="Times New Roman"/>
                                      <w:b w:val="0"/>
                                      <w:color w:val="000000"/>
                                    </w:rPr>
                                    <w:t>Trade</w:t>
                                  </w:r>
                                </w:p>
                              </w:tc>
                              <w:tc>
                                <w:tcPr>
                                  <w:tcW w:w="1300" w:type="dxa"/>
                                  <w:noWrap/>
                                  <w:hideMark/>
                                </w:tcPr>
                                <w:p w:rsidR="00AF45DC" w:rsidRPr="003259C4" w:rsidRDefault="00AF45DC" w:rsidP="004D22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259C4">
                                    <w:rPr>
                                      <w:rFonts w:ascii="Calibri" w:eastAsia="Times New Roman" w:hAnsi="Calibri" w:cs="Times New Roman"/>
                                      <w:color w:val="000000"/>
                                    </w:rPr>
                                    <w:t>0.4</w:t>
                                  </w:r>
                                </w:p>
                              </w:tc>
                            </w:tr>
                            <w:tr w:rsidR="00AF45DC" w:rsidRPr="003259C4" w:rsidTr="00A34CCF">
                              <w:trPr>
                                <w:trHeight w:val="345"/>
                              </w:trPr>
                              <w:tc>
                                <w:tcPr>
                                  <w:cnfStyle w:val="001000000000" w:firstRow="0" w:lastRow="0" w:firstColumn="1" w:lastColumn="0" w:oddVBand="0" w:evenVBand="0" w:oddHBand="0" w:evenHBand="0" w:firstRowFirstColumn="0" w:firstRowLastColumn="0" w:lastRowFirstColumn="0" w:lastRowLastColumn="0"/>
                                  <w:tcW w:w="4840" w:type="dxa"/>
                                  <w:noWrap/>
                                  <w:hideMark/>
                                </w:tcPr>
                                <w:p w:rsidR="00AF45DC" w:rsidRPr="003259C4" w:rsidRDefault="00AF45DC" w:rsidP="00A34CCF">
                                  <w:pPr>
                                    <w:rPr>
                                      <w:rFonts w:ascii="Calibri" w:eastAsia="Times New Roman" w:hAnsi="Calibri" w:cs="Times New Roman"/>
                                      <w:b w:val="0"/>
                                      <w:color w:val="000000"/>
                                    </w:rPr>
                                  </w:pPr>
                                  <w:r w:rsidRPr="003259C4">
                                    <w:rPr>
                                      <w:rFonts w:ascii="Calibri" w:eastAsia="Times New Roman" w:hAnsi="Calibri" w:cs="Times New Roman"/>
                                      <w:b w:val="0"/>
                                      <w:color w:val="000000"/>
                                    </w:rPr>
                                    <w:t>Transportation and utilities</w:t>
                                  </w:r>
                                </w:p>
                              </w:tc>
                              <w:tc>
                                <w:tcPr>
                                  <w:tcW w:w="1300" w:type="dxa"/>
                                  <w:noWrap/>
                                  <w:hideMark/>
                                </w:tcPr>
                                <w:p w:rsidR="00AF45DC" w:rsidRPr="003259C4" w:rsidRDefault="00AF45DC" w:rsidP="004D22D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259C4">
                                    <w:rPr>
                                      <w:rFonts w:ascii="Calibri" w:eastAsia="Times New Roman" w:hAnsi="Calibri" w:cs="Times New Roman"/>
                                      <w:color w:val="000000"/>
                                    </w:rPr>
                                    <w:t>0.3</w:t>
                                  </w:r>
                                </w:p>
                              </w:tc>
                            </w:tr>
                            <w:tr w:rsidR="00AF45DC" w:rsidRPr="003259C4" w:rsidTr="00A34CC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840" w:type="dxa"/>
                                  <w:noWrap/>
                                  <w:hideMark/>
                                </w:tcPr>
                                <w:p w:rsidR="00AF45DC" w:rsidRPr="003259C4" w:rsidRDefault="00AF45DC" w:rsidP="00A34CCF">
                                  <w:pPr>
                                    <w:rPr>
                                      <w:rFonts w:ascii="Calibri" w:eastAsia="Times New Roman" w:hAnsi="Calibri" w:cs="Times New Roman"/>
                                      <w:b w:val="0"/>
                                      <w:color w:val="000000"/>
                                    </w:rPr>
                                  </w:pPr>
                                  <w:r w:rsidRPr="003259C4">
                                    <w:rPr>
                                      <w:rFonts w:ascii="Calibri" w:eastAsia="Times New Roman" w:hAnsi="Calibri" w:cs="Times New Roman"/>
                                      <w:b w:val="0"/>
                                      <w:color w:val="000000"/>
                                    </w:rPr>
                                    <w:t>Information</w:t>
                                  </w:r>
                                </w:p>
                              </w:tc>
                              <w:tc>
                                <w:tcPr>
                                  <w:tcW w:w="1300" w:type="dxa"/>
                                  <w:noWrap/>
                                  <w:hideMark/>
                                </w:tcPr>
                                <w:p w:rsidR="00AF45DC" w:rsidRPr="003259C4" w:rsidRDefault="00AF45DC" w:rsidP="004D22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259C4">
                                    <w:rPr>
                                      <w:rFonts w:ascii="Calibri" w:eastAsia="Times New Roman" w:hAnsi="Calibri" w:cs="Times New Roman"/>
                                      <w:color w:val="000000"/>
                                    </w:rPr>
                                    <w:t>-0.1</w:t>
                                  </w:r>
                                </w:p>
                              </w:tc>
                            </w:tr>
                            <w:tr w:rsidR="00AF45DC" w:rsidRPr="003259C4" w:rsidTr="00A34CCF">
                              <w:trPr>
                                <w:trHeight w:val="345"/>
                              </w:trPr>
                              <w:tc>
                                <w:tcPr>
                                  <w:cnfStyle w:val="001000000000" w:firstRow="0" w:lastRow="0" w:firstColumn="1" w:lastColumn="0" w:oddVBand="0" w:evenVBand="0" w:oddHBand="0" w:evenHBand="0" w:firstRowFirstColumn="0" w:firstRowLastColumn="0" w:lastRowFirstColumn="0" w:lastRowLastColumn="0"/>
                                  <w:tcW w:w="4840" w:type="dxa"/>
                                  <w:noWrap/>
                                  <w:hideMark/>
                                </w:tcPr>
                                <w:p w:rsidR="00AF45DC" w:rsidRPr="003259C4" w:rsidRDefault="00AF45DC" w:rsidP="00A34CCF">
                                  <w:pPr>
                                    <w:rPr>
                                      <w:rFonts w:ascii="Calibri" w:eastAsia="Times New Roman" w:hAnsi="Calibri" w:cs="Times New Roman"/>
                                      <w:b w:val="0"/>
                                      <w:color w:val="000000"/>
                                    </w:rPr>
                                  </w:pPr>
                                  <w:r w:rsidRPr="003259C4">
                                    <w:rPr>
                                      <w:rFonts w:ascii="Calibri" w:eastAsia="Times New Roman" w:hAnsi="Calibri" w:cs="Times New Roman"/>
                                      <w:b w:val="0"/>
                                      <w:color w:val="000000"/>
                                    </w:rPr>
                                    <w:t>Finance, insurance, and real estate</w:t>
                                  </w:r>
                                </w:p>
                              </w:tc>
                              <w:tc>
                                <w:tcPr>
                                  <w:tcW w:w="1300" w:type="dxa"/>
                                  <w:noWrap/>
                                  <w:hideMark/>
                                </w:tcPr>
                                <w:p w:rsidR="00AF45DC" w:rsidRPr="003259C4" w:rsidRDefault="00AF45DC" w:rsidP="004D22D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259C4">
                                    <w:rPr>
                                      <w:rFonts w:ascii="Calibri" w:eastAsia="Times New Roman" w:hAnsi="Calibri" w:cs="Times New Roman"/>
                                      <w:color w:val="000000"/>
                                    </w:rPr>
                                    <w:t>1.7</w:t>
                                  </w:r>
                                </w:p>
                              </w:tc>
                            </w:tr>
                            <w:tr w:rsidR="00AF45DC" w:rsidRPr="003259C4" w:rsidTr="00A34CC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840" w:type="dxa"/>
                                  <w:noWrap/>
                                  <w:hideMark/>
                                </w:tcPr>
                                <w:p w:rsidR="00AF45DC" w:rsidRPr="003259C4" w:rsidRDefault="00AF45DC" w:rsidP="00A34CCF">
                                  <w:pPr>
                                    <w:rPr>
                                      <w:rFonts w:ascii="Calibri" w:eastAsia="Times New Roman" w:hAnsi="Calibri" w:cs="Times New Roman"/>
                                      <w:b w:val="0"/>
                                      <w:color w:val="000000"/>
                                    </w:rPr>
                                  </w:pPr>
                                  <w:r w:rsidRPr="003259C4">
                                    <w:rPr>
                                      <w:rFonts w:ascii="Calibri" w:eastAsia="Times New Roman" w:hAnsi="Calibri" w:cs="Times New Roman"/>
                                      <w:b w:val="0"/>
                                      <w:color w:val="000000"/>
                                    </w:rPr>
                                    <w:t>Professional and business services</w:t>
                                  </w:r>
                                </w:p>
                              </w:tc>
                              <w:tc>
                                <w:tcPr>
                                  <w:tcW w:w="1300" w:type="dxa"/>
                                  <w:noWrap/>
                                  <w:hideMark/>
                                </w:tcPr>
                                <w:p w:rsidR="00AF45DC" w:rsidRPr="003259C4" w:rsidRDefault="00AF45DC" w:rsidP="004D22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259C4">
                                    <w:rPr>
                                      <w:rFonts w:ascii="Calibri" w:eastAsia="Times New Roman" w:hAnsi="Calibri" w:cs="Times New Roman"/>
                                      <w:color w:val="000000"/>
                                    </w:rPr>
                                    <w:t>0.5</w:t>
                                  </w:r>
                                </w:p>
                              </w:tc>
                            </w:tr>
                            <w:tr w:rsidR="00AF45DC" w:rsidRPr="003259C4" w:rsidTr="00A34CCF">
                              <w:trPr>
                                <w:trHeight w:val="345"/>
                              </w:trPr>
                              <w:tc>
                                <w:tcPr>
                                  <w:cnfStyle w:val="001000000000" w:firstRow="0" w:lastRow="0" w:firstColumn="1" w:lastColumn="0" w:oddVBand="0" w:evenVBand="0" w:oddHBand="0" w:evenHBand="0" w:firstRowFirstColumn="0" w:firstRowLastColumn="0" w:lastRowFirstColumn="0" w:lastRowLastColumn="0"/>
                                  <w:tcW w:w="4840" w:type="dxa"/>
                                  <w:noWrap/>
                                  <w:hideMark/>
                                </w:tcPr>
                                <w:p w:rsidR="00AF45DC" w:rsidRPr="003259C4" w:rsidRDefault="00AF45DC" w:rsidP="00A34CCF">
                                  <w:pPr>
                                    <w:rPr>
                                      <w:rFonts w:ascii="Calibri" w:eastAsia="Times New Roman" w:hAnsi="Calibri" w:cs="Times New Roman"/>
                                      <w:b w:val="0"/>
                                      <w:color w:val="000000"/>
                                    </w:rPr>
                                  </w:pPr>
                                  <w:r w:rsidRPr="003259C4">
                                    <w:rPr>
                                      <w:rFonts w:ascii="Calibri" w:eastAsia="Times New Roman" w:hAnsi="Calibri" w:cs="Times New Roman"/>
                                      <w:b w:val="0"/>
                                      <w:color w:val="000000"/>
                                    </w:rPr>
                                    <w:t>Education, healthcare, and social assistance</w:t>
                                  </w:r>
                                </w:p>
                              </w:tc>
                              <w:tc>
                                <w:tcPr>
                                  <w:tcW w:w="1300" w:type="dxa"/>
                                  <w:noWrap/>
                                  <w:hideMark/>
                                </w:tcPr>
                                <w:p w:rsidR="00AF45DC" w:rsidRPr="003259C4" w:rsidRDefault="00AF45DC" w:rsidP="004D22D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259C4">
                                    <w:rPr>
                                      <w:rFonts w:ascii="Calibri" w:eastAsia="Times New Roman" w:hAnsi="Calibri" w:cs="Times New Roman"/>
                                      <w:color w:val="000000"/>
                                    </w:rPr>
                                    <w:t>0.4</w:t>
                                  </w:r>
                                </w:p>
                              </w:tc>
                            </w:tr>
                            <w:tr w:rsidR="00AF45DC" w:rsidRPr="003259C4" w:rsidTr="00A34CC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840" w:type="dxa"/>
                                  <w:noWrap/>
                                  <w:hideMark/>
                                </w:tcPr>
                                <w:p w:rsidR="00AF45DC" w:rsidRPr="003259C4" w:rsidRDefault="00AF45DC" w:rsidP="00A34CCF">
                                  <w:pPr>
                                    <w:rPr>
                                      <w:rFonts w:ascii="Calibri" w:eastAsia="Times New Roman" w:hAnsi="Calibri" w:cs="Times New Roman"/>
                                      <w:b w:val="0"/>
                                      <w:color w:val="000000"/>
                                    </w:rPr>
                                  </w:pPr>
                                  <w:r w:rsidRPr="003259C4">
                                    <w:rPr>
                                      <w:rFonts w:ascii="Calibri" w:eastAsia="Times New Roman" w:hAnsi="Calibri" w:cs="Times New Roman"/>
                                      <w:b w:val="0"/>
                                      <w:color w:val="000000"/>
                                    </w:rPr>
                                    <w:t>Arts, recreation, accom</w:t>
                                  </w:r>
                                  <w:r>
                                    <w:rPr>
                                      <w:rFonts w:ascii="Calibri" w:eastAsia="Times New Roman" w:hAnsi="Calibri" w:cs="Times New Roman"/>
                                      <w:b w:val="0"/>
                                      <w:color w:val="000000"/>
                                    </w:rPr>
                                    <w:t>m</w:t>
                                  </w:r>
                                  <w:r w:rsidRPr="003259C4">
                                    <w:rPr>
                                      <w:rFonts w:ascii="Calibri" w:eastAsia="Times New Roman" w:hAnsi="Calibri" w:cs="Times New Roman"/>
                                      <w:b w:val="0"/>
                                      <w:color w:val="000000"/>
                                    </w:rPr>
                                    <w:t>odation, and food services</w:t>
                                  </w:r>
                                </w:p>
                              </w:tc>
                              <w:tc>
                                <w:tcPr>
                                  <w:tcW w:w="1300" w:type="dxa"/>
                                  <w:noWrap/>
                                  <w:hideMark/>
                                </w:tcPr>
                                <w:p w:rsidR="00AF45DC" w:rsidRPr="003259C4" w:rsidRDefault="00AF45DC" w:rsidP="004D22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259C4">
                                    <w:rPr>
                                      <w:rFonts w:ascii="Calibri" w:eastAsia="Times New Roman" w:hAnsi="Calibri" w:cs="Times New Roman"/>
                                      <w:color w:val="000000"/>
                                    </w:rPr>
                                    <w:t>0.1</w:t>
                                  </w:r>
                                </w:p>
                              </w:tc>
                            </w:tr>
                            <w:tr w:rsidR="00AF45DC" w:rsidRPr="003259C4" w:rsidTr="00A34CCF">
                              <w:trPr>
                                <w:trHeight w:val="345"/>
                              </w:trPr>
                              <w:tc>
                                <w:tcPr>
                                  <w:cnfStyle w:val="001000000000" w:firstRow="0" w:lastRow="0" w:firstColumn="1" w:lastColumn="0" w:oddVBand="0" w:evenVBand="0" w:oddHBand="0" w:evenHBand="0" w:firstRowFirstColumn="0" w:firstRowLastColumn="0" w:lastRowFirstColumn="0" w:lastRowLastColumn="0"/>
                                  <w:tcW w:w="4840" w:type="dxa"/>
                                  <w:noWrap/>
                                  <w:hideMark/>
                                </w:tcPr>
                                <w:p w:rsidR="00AF45DC" w:rsidRPr="003259C4" w:rsidRDefault="00AF45DC" w:rsidP="00A34CCF">
                                  <w:pPr>
                                    <w:rPr>
                                      <w:rFonts w:ascii="Calibri" w:eastAsia="Times New Roman" w:hAnsi="Calibri" w:cs="Times New Roman"/>
                                      <w:b w:val="0"/>
                                      <w:color w:val="000000"/>
                                    </w:rPr>
                                  </w:pPr>
                                  <w:r w:rsidRPr="003259C4">
                                    <w:rPr>
                                      <w:rFonts w:ascii="Calibri" w:eastAsia="Times New Roman" w:hAnsi="Calibri" w:cs="Times New Roman"/>
                                      <w:b w:val="0"/>
                                      <w:color w:val="000000"/>
                                    </w:rPr>
                                    <w:t>Other services, except government</w:t>
                                  </w:r>
                                </w:p>
                              </w:tc>
                              <w:tc>
                                <w:tcPr>
                                  <w:tcW w:w="1300" w:type="dxa"/>
                                  <w:noWrap/>
                                  <w:hideMark/>
                                </w:tcPr>
                                <w:p w:rsidR="00AF45DC" w:rsidRPr="003259C4" w:rsidRDefault="00AF45DC" w:rsidP="004D22D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259C4">
                                    <w:rPr>
                                      <w:rFonts w:ascii="Calibri" w:eastAsia="Times New Roman" w:hAnsi="Calibri" w:cs="Times New Roman"/>
                                      <w:color w:val="000000"/>
                                    </w:rPr>
                                    <w:t>0.1</w:t>
                                  </w:r>
                                </w:p>
                              </w:tc>
                            </w:tr>
                            <w:tr w:rsidR="00AF45DC" w:rsidRPr="003259C4" w:rsidTr="00A34CC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840" w:type="dxa"/>
                                  <w:noWrap/>
                                  <w:hideMark/>
                                </w:tcPr>
                                <w:p w:rsidR="00AF45DC" w:rsidRPr="003259C4" w:rsidRDefault="00AF45DC" w:rsidP="00A34CCF">
                                  <w:pPr>
                                    <w:rPr>
                                      <w:rFonts w:ascii="Calibri" w:eastAsia="Times New Roman" w:hAnsi="Calibri" w:cs="Times New Roman"/>
                                      <w:b w:val="0"/>
                                      <w:color w:val="000000"/>
                                    </w:rPr>
                                  </w:pPr>
                                  <w:r w:rsidRPr="003259C4">
                                    <w:rPr>
                                      <w:rFonts w:ascii="Calibri" w:eastAsia="Times New Roman" w:hAnsi="Calibri" w:cs="Times New Roman"/>
                                      <w:b w:val="0"/>
                                      <w:color w:val="000000"/>
                                    </w:rPr>
                                    <w:t>Government</w:t>
                                  </w:r>
                                </w:p>
                              </w:tc>
                              <w:tc>
                                <w:tcPr>
                                  <w:tcW w:w="1300" w:type="dxa"/>
                                  <w:noWrap/>
                                  <w:hideMark/>
                                </w:tcPr>
                                <w:p w:rsidR="00AF45DC" w:rsidRPr="003259C4" w:rsidRDefault="00AF45DC" w:rsidP="004D22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259C4">
                                    <w:rPr>
                                      <w:rFonts w:ascii="Calibri" w:eastAsia="Times New Roman" w:hAnsi="Calibri" w:cs="Times New Roman"/>
                                      <w:color w:val="000000"/>
                                    </w:rPr>
                                    <w:t>0.2</w:t>
                                  </w:r>
                                </w:p>
                              </w:tc>
                            </w:tr>
                            <w:tr w:rsidR="00AF45DC" w:rsidRPr="003259C4" w:rsidTr="00A34CCF">
                              <w:trPr>
                                <w:trHeight w:val="345"/>
                              </w:trPr>
                              <w:tc>
                                <w:tcPr>
                                  <w:cnfStyle w:val="001000000000" w:firstRow="0" w:lastRow="0" w:firstColumn="1" w:lastColumn="0" w:oddVBand="0" w:evenVBand="0" w:oddHBand="0" w:evenHBand="0" w:firstRowFirstColumn="0" w:firstRowLastColumn="0" w:lastRowFirstColumn="0" w:lastRowLastColumn="0"/>
                                  <w:tcW w:w="4840" w:type="dxa"/>
                                  <w:noWrap/>
                                  <w:hideMark/>
                                </w:tcPr>
                                <w:p w:rsidR="00AF45DC" w:rsidRPr="001A2868" w:rsidRDefault="00AF45DC" w:rsidP="00A34CCF">
                                  <w:pPr>
                                    <w:jc w:val="center"/>
                                    <w:rPr>
                                      <w:rFonts w:ascii="Calibri" w:eastAsia="Times New Roman" w:hAnsi="Calibri" w:cs="Times New Roman"/>
                                      <w:color w:val="000000"/>
                                    </w:rPr>
                                  </w:pPr>
                                  <w:r w:rsidRPr="001A2868">
                                    <w:rPr>
                                      <w:rFonts w:ascii="Calibri" w:eastAsia="Times New Roman" w:hAnsi="Calibri" w:cs="Times New Roman"/>
                                      <w:color w:val="000000"/>
                                    </w:rPr>
                                    <w:t xml:space="preserve">Total </w:t>
                                  </w:r>
                                </w:p>
                              </w:tc>
                              <w:tc>
                                <w:tcPr>
                                  <w:tcW w:w="1300" w:type="dxa"/>
                                  <w:noWrap/>
                                  <w:hideMark/>
                                </w:tcPr>
                                <w:p w:rsidR="00AF45DC" w:rsidRPr="001A2868" w:rsidRDefault="00AF45DC" w:rsidP="004D22D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1A2868">
                                    <w:rPr>
                                      <w:rFonts w:ascii="Calibri" w:eastAsia="Times New Roman" w:hAnsi="Calibri" w:cs="Times New Roman"/>
                                      <w:b/>
                                      <w:color w:val="000000"/>
                                    </w:rPr>
                                    <w:t>3.9</w:t>
                                  </w:r>
                                </w:p>
                              </w:tc>
                            </w:tr>
                          </w:tbl>
                          <w:tbl>
                            <w:tblPr>
                              <w:tblW w:w="4230" w:type="dxa"/>
                              <w:tblLook w:val="04A0" w:firstRow="1" w:lastRow="0" w:firstColumn="1" w:lastColumn="0" w:noHBand="0" w:noVBand="1"/>
                            </w:tblPr>
                            <w:tblGrid>
                              <w:gridCol w:w="4230"/>
                            </w:tblGrid>
                            <w:tr w:rsidR="00AF45DC" w:rsidRPr="00B416A3" w:rsidTr="004C2860">
                              <w:trPr>
                                <w:trHeight w:val="390"/>
                              </w:trPr>
                              <w:tc>
                                <w:tcPr>
                                  <w:tcW w:w="4230" w:type="dxa"/>
                                  <w:tcBorders>
                                    <w:top w:val="nil"/>
                                    <w:left w:val="nil"/>
                                    <w:bottom w:val="nil"/>
                                    <w:right w:val="nil"/>
                                  </w:tcBorders>
                                  <w:shd w:val="clear" w:color="auto" w:fill="auto"/>
                                  <w:noWrap/>
                                  <w:vAlign w:val="center"/>
                                  <w:hideMark/>
                                </w:tcPr>
                                <w:p w:rsidR="00AF45DC" w:rsidRPr="00B416A3" w:rsidRDefault="00AF45DC" w:rsidP="004C2860">
                                  <w:pPr>
                                    <w:spacing w:after="0" w:line="240" w:lineRule="auto"/>
                                    <w:rPr>
                                      <w:rFonts w:ascii="Calibri" w:eastAsia="Times New Roman" w:hAnsi="Calibri" w:cs="Times New Roman"/>
                                      <w:color w:val="000000"/>
                                      <w:sz w:val="18"/>
                                      <w:szCs w:val="18"/>
                                    </w:rPr>
                                  </w:pPr>
                                  <w:r w:rsidRPr="00B416A3">
                                    <w:rPr>
                                      <w:rFonts w:ascii="Calibri" w:eastAsia="Times New Roman" w:hAnsi="Calibri" w:cs="Times New Roman"/>
                                      <w:color w:val="000000"/>
                                      <w:sz w:val="18"/>
                                      <w:szCs w:val="18"/>
                                    </w:rPr>
                                    <w:t>Source: U.S. Bureau of Economic Analysis</w:t>
                                  </w:r>
                                </w:p>
                              </w:tc>
                            </w:tr>
                          </w:tbl>
                          <w:p w:rsidR="00AF45DC" w:rsidRDefault="00AF45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67.75pt;width:330pt;height:339.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" stroked="f">
                <v:textbox>
                  <w:txbxContent>
                    <w:p w:rsidR="00AF45DC" w:rsidRPr="00F611E7" w:rsidRDefault="00AF45DC" w:rsidP="00A34CCF">
                      <w:pPr>
                        <w:spacing w:after="0"/>
                        <w:jc w:val="center"/>
                        <w:rPr>
                          <w:b/>
                          <w:sz w:val="24"/>
                          <w:szCs w:val="24"/>
                        </w:rPr>
                      </w:pPr>
                      <w:r w:rsidRPr="00F611E7">
                        <w:rPr>
                          <w:b/>
                          <w:sz w:val="24"/>
                          <w:szCs w:val="24"/>
                        </w:rPr>
                        <w:t xml:space="preserve">Table </w:t>
                      </w:r>
                      <w:r>
                        <w:rPr>
                          <w:b/>
                          <w:sz w:val="24"/>
                          <w:szCs w:val="24"/>
                        </w:rPr>
                        <w:t>4</w:t>
                      </w:r>
                    </w:p>
                    <w:p w:rsidR="00AF45DC" w:rsidRPr="00F611E7" w:rsidRDefault="00AF45DC" w:rsidP="00A34CCF">
                      <w:pPr>
                        <w:spacing w:after="0"/>
                        <w:jc w:val="center"/>
                        <w:rPr>
                          <w:b/>
                          <w:sz w:val="24"/>
                          <w:szCs w:val="24"/>
                        </w:rPr>
                      </w:pPr>
                      <w:r w:rsidRPr="00F611E7">
                        <w:rPr>
                          <w:b/>
                          <w:sz w:val="24"/>
                          <w:szCs w:val="24"/>
                        </w:rPr>
                        <w:t>Percent Contribution to Waco’s 2016 Change in Real GDP</w:t>
                      </w:r>
                    </w:p>
                    <w:p w:rsidR="00AF45DC" w:rsidRPr="0008211B" w:rsidRDefault="00AF45DC" w:rsidP="00A34CCF">
                      <w:pPr>
                        <w:spacing w:after="0"/>
                        <w:rPr>
                          <w:b/>
                          <w:sz w:val="16"/>
                          <w:szCs w:val="16"/>
                        </w:rPr>
                      </w:pPr>
                    </w:p>
                    <w:tbl>
                      <w:tblPr>
                        <w:tblStyle w:val="PlainTable1"/>
                        <w:tblW w:w="6140" w:type="dxa"/>
                        <w:tblLook w:val="04A0" w:firstRow="1" w:lastRow="0" w:firstColumn="1" w:lastColumn="0" w:noHBand="0" w:noVBand="1"/>
                      </w:tblPr>
                      <w:tblGrid>
                        <w:gridCol w:w="4840"/>
                        <w:gridCol w:w="1300"/>
                      </w:tblGrid>
                      <w:tr w:rsidR="00AF45DC" w:rsidRPr="003259C4" w:rsidTr="00A34CCF">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840" w:type="dxa"/>
                            <w:noWrap/>
                            <w:hideMark/>
                          </w:tcPr>
                          <w:p w:rsidR="00AF45DC" w:rsidRPr="00B44040" w:rsidRDefault="00AF45DC" w:rsidP="00A34CCF">
                            <w:pPr>
                              <w:jc w:val="center"/>
                              <w:rPr>
                                <w:rFonts w:ascii="Calibri" w:eastAsia="Times New Roman" w:hAnsi="Calibri" w:cs="Times New Roman"/>
                                <w:color w:val="000000"/>
                              </w:rPr>
                            </w:pPr>
                            <w:r w:rsidRPr="00B44040">
                              <w:rPr>
                                <w:rFonts w:ascii="Calibri" w:eastAsia="Times New Roman" w:hAnsi="Calibri" w:cs="Times New Roman"/>
                                <w:color w:val="000000"/>
                              </w:rPr>
                              <w:t>Contribution to Percent Change in 2016 Real GDP</w:t>
                            </w:r>
                          </w:p>
                        </w:tc>
                        <w:tc>
                          <w:tcPr>
                            <w:tcW w:w="1300" w:type="dxa"/>
                            <w:noWrap/>
                            <w:hideMark/>
                          </w:tcPr>
                          <w:p w:rsidR="00AF45DC" w:rsidRPr="00B44040" w:rsidRDefault="00AF45DC" w:rsidP="00A34CC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44040">
                              <w:rPr>
                                <w:rFonts w:ascii="Calibri" w:eastAsia="Times New Roman" w:hAnsi="Calibri" w:cs="Times New Roman"/>
                                <w:color w:val="000000"/>
                              </w:rPr>
                              <w:t>Waco MSA</w:t>
                            </w:r>
                          </w:p>
                        </w:tc>
                      </w:tr>
                      <w:tr w:rsidR="00AF45DC" w:rsidRPr="003259C4" w:rsidTr="00A34CC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840" w:type="dxa"/>
                            <w:noWrap/>
                            <w:hideMark/>
                          </w:tcPr>
                          <w:p w:rsidR="00AF45DC" w:rsidRPr="003259C4" w:rsidRDefault="00AF45DC" w:rsidP="00A34CCF">
                            <w:pPr>
                              <w:rPr>
                                <w:rFonts w:ascii="Calibri" w:eastAsia="Times New Roman" w:hAnsi="Calibri" w:cs="Times New Roman"/>
                                <w:b w:val="0"/>
                                <w:color w:val="000000"/>
                              </w:rPr>
                            </w:pPr>
                            <w:r w:rsidRPr="003259C4">
                              <w:rPr>
                                <w:rFonts w:ascii="Calibri" w:eastAsia="Times New Roman" w:hAnsi="Calibri" w:cs="Times New Roman"/>
                                <w:b w:val="0"/>
                                <w:color w:val="000000"/>
                              </w:rPr>
                              <w:t>Natural resources and mining</w:t>
                            </w:r>
                          </w:p>
                        </w:tc>
                        <w:tc>
                          <w:tcPr>
                            <w:tcW w:w="1300" w:type="dxa"/>
                            <w:noWrap/>
                            <w:hideMark/>
                          </w:tcPr>
                          <w:p w:rsidR="00AF45DC" w:rsidRPr="003259C4" w:rsidRDefault="00AF45DC" w:rsidP="004D22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259C4">
                              <w:rPr>
                                <w:rFonts w:ascii="Calibri" w:eastAsia="Times New Roman" w:hAnsi="Calibri" w:cs="Times New Roman"/>
                                <w:color w:val="000000"/>
                              </w:rPr>
                              <w:t>-0.1</w:t>
                            </w:r>
                          </w:p>
                        </w:tc>
                      </w:tr>
                      <w:tr w:rsidR="00AF45DC" w:rsidRPr="003259C4" w:rsidTr="00A34CCF">
                        <w:trPr>
                          <w:trHeight w:val="345"/>
                        </w:trPr>
                        <w:tc>
                          <w:tcPr>
                            <w:cnfStyle w:val="001000000000" w:firstRow="0" w:lastRow="0" w:firstColumn="1" w:lastColumn="0" w:oddVBand="0" w:evenVBand="0" w:oddHBand="0" w:evenHBand="0" w:firstRowFirstColumn="0" w:firstRowLastColumn="0" w:lastRowFirstColumn="0" w:lastRowLastColumn="0"/>
                            <w:tcW w:w="4840" w:type="dxa"/>
                            <w:noWrap/>
                            <w:hideMark/>
                          </w:tcPr>
                          <w:p w:rsidR="00AF45DC" w:rsidRPr="003259C4" w:rsidRDefault="00AF45DC" w:rsidP="00A34CCF">
                            <w:pPr>
                              <w:rPr>
                                <w:rFonts w:ascii="Calibri" w:eastAsia="Times New Roman" w:hAnsi="Calibri" w:cs="Times New Roman"/>
                                <w:b w:val="0"/>
                                <w:color w:val="000000"/>
                              </w:rPr>
                            </w:pPr>
                            <w:r w:rsidRPr="003259C4">
                              <w:rPr>
                                <w:rFonts w:ascii="Calibri" w:eastAsia="Times New Roman" w:hAnsi="Calibri" w:cs="Times New Roman"/>
                                <w:b w:val="0"/>
                                <w:color w:val="000000"/>
                              </w:rPr>
                              <w:t>Construction</w:t>
                            </w:r>
                          </w:p>
                        </w:tc>
                        <w:tc>
                          <w:tcPr>
                            <w:tcW w:w="1300" w:type="dxa"/>
                            <w:noWrap/>
                            <w:hideMark/>
                          </w:tcPr>
                          <w:p w:rsidR="00AF45DC" w:rsidRPr="003259C4" w:rsidRDefault="00AF45DC" w:rsidP="004D22D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259C4">
                              <w:rPr>
                                <w:rFonts w:ascii="Calibri" w:eastAsia="Times New Roman" w:hAnsi="Calibri" w:cs="Times New Roman"/>
                                <w:color w:val="000000"/>
                              </w:rPr>
                              <w:t>0.5</w:t>
                            </w:r>
                          </w:p>
                        </w:tc>
                      </w:tr>
                      <w:tr w:rsidR="00AF45DC" w:rsidRPr="003259C4" w:rsidTr="00A34CC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840" w:type="dxa"/>
                            <w:noWrap/>
                            <w:hideMark/>
                          </w:tcPr>
                          <w:p w:rsidR="00AF45DC" w:rsidRPr="003259C4" w:rsidRDefault="00AF45DC" w:rsidP="00A34CCF">
                            <w:pPr>
                              <w:rPr>
                                <w:rFonts w:ascii="Calibri" w:eastAsia="Times New Roman" w:hAnsi="Calibri" w:cs="Times New Roman"/>
                                <w:b w:val="0"/>
                                <w:color w:val="000000"/>
                              </w:rPr>
                            </w:pPr>
                            <w:r w:rsidRPr="003259C4">
                              <w:rPr>
                                <w:rFonts w:ascii="Calibri" w:eastAsia="Times New Roman" w:hAnsi="Calibri" w:cs="Times New Roman"/>
                                <w:b w:val="0"/>
                                <w:color w:val="000000"/>
                              </w:rPr>
                              <w:t>Durable goods manufacturing</w:t>
                            </w:r>
                          </w:p>
                        </w:tc>
                        <w:tc>
                          <w:tcPr>
                            <w:tcW w:w="1300" w:type="dxa"/>
                            <w:noWrap/>
                            <w:hideMark/>
                          </w:tcPr>
                          <w:p w:rsidR="00AF45DC" w:rsidRPr="003259C4" w:rsidRDefault="00AF45DC" w:rsidP="004D22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259C4">
                              <w:rPr>
                                <w:rFonts w:ascii="Calibri" w:eastAsia="Times New Roman" w:hAnsi="Calibri" w:cs="Times New Roman"/>
                                <w:color w:val="000000"/>
                              </w:rPr>
                              <w:t>-0.3</w:t>
                            </w:r>
                          </w:p>
                        </w:tc>
                      </w:tr>
                      <w:tr w:rsidR="00AF45DC" w:rsidRPr="003259C4" w:rsidTr="00A34CCF">
                        <w:trPr>
                          <w:trHeight w:val="345"/>
                        </w:trPr>
                        <w:tc>
                          <w:tcPr>
                            <w:cnfStyle w:val="001000000000" w:firstRow="0" w:lastRow="0" w:firstColumn="1" w:lastColumn="0" w:oddVBand="0" w:evenVBand="0" w:oddHBand="0" w:evenHBand="0" w:firstRowFirstColumn="0" w:firstRowLastColumn="0" w:lastRowFirstColumn="0" w:lastRowLastColumn="0"/>
                            <w:tcW w:w="4840" w:type="dxa"/>
                            <w:noWrap/>
                            <w:hideMark/>
                          </w:tcPr>
                          <w:p w:rsidR="00AF45DC" w:rsidRPr="003259C4" w:rsidRDefault="00AF45DC" w:rsidP="00A34CCF">
                            <w:pPr>
                              <w:rPr>
                                <w:rFonts w:ascii="Calibri" w:eastAsia="Times New Roman" w:hAnsi="Calibri" w:cs="Times New Roman"/>
                                <w:b w:val="0"/>
                                <w:color w:val="000000"/>
                              </w:rPr>
                            </w:pPr>
                            <w:r w:rsidRPr="003259C4">
                              <w:rPr>
                                <w:rFonts w:ascii="Calibri" w:eastAsia="Times New Roman" w:hAnsi="Calibri" w:cs="Times New Roman"/>
                                <w:b w:val="0"/>
                                <w:color w:val="000000"/>
                              </w:rPr>
                              <w:t>Nondurable goods manufacturing</w:t>
                            </w:r>
                          </w:p>
                        </w:tc>
                        <w:tc>
                          <w:tcPr>
                            <w:tcW w:w="1300" w:type="dxa"/>
                            <w:noWrap/>
                            <w:hideMark/>
                          </w:tcPr>
                          <w:p w:rsidR="00AF45DC" w:rsidRPr="003259C4" w:rsidRDefault="00AF45DC" w:rsidP="004D22D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259C4">
                              <w:rPr>
                                <w:rFonts w:ascii="Calibri" w:eastAsia="Times New Roman" w:hAnsi="Calibri" w:cs="Times New Roman"/>
                                <w:color w:val="000000"/>
                              </w:rPr>
                              <w:t>0.3</w:t>
                            </w:r>
                          </w:p>
                        </w:tc>
                      </w:tr>
                      <w:tr w:rsidR="00AF45DC" w:rsidRPr="003259C4" w:rsidTr="00A34CC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840" w:type="dxa"/>
                            <w:noWrap/>
                            <w:hideMark/>
                          </w:tcPr>
                          <w:p w:rsidR="00AF45DC" w:rsidRPr="003259C4" w:rsidRDefault="00AF45DC" w:rsidP="00A34CCF">
                            <w:pPr>
                              <w:rPr>
                                <w:rFonts w:ascii="Calibri" w:eastAsia="Times New Roman" w:hAnsi="Calibri" w:cs="Times New Roman"/>
                                <w:b w:val="0"/>
                                <w:color w:val="000000"/>
                              </w:rPr>
                            </w:pPr>
                            <w:r w:rsidRPr="003259C4">
                              <w:rPr>
                                <w:rFonts w:ascii="Calibri" w:eastAsia="Times New Roman" w:hAnsi="Calibri" w:cs="Times New Roman"/>
                                <w:b w:val="0"/>
                                <w:color w:val="000000"/>
                              </w:rPr>
                              <w:t>Trade</w:t>
                            </w:r>
                          </w:p>
                        </w:tc>
                        <w:tc>
                          <w:tcPr>
                            <w:tcW w:w="1300" w:type="dxa"/>
                            <w:noWrap/>
                            <w:hideMark/>
                          </w:tcPr>
                          <w:p w:rsidR="00AF45DC" w:rsidRPr="003259C4" w:rsidRDefault="00AF45DC" w:rsidP="004D22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259C4">
                              <w:rPr>
                                <w:rFonts w:ascii="Calibri" w:eastAsia="Times New Roman" w:hAnsi="Calibri" w:cs="Times New Roman"/>
                                <w:color w:val="000000"/>
                              </w:rPr>
                              <w:t>0.4</w:t>
                            </w:r>
                          </w:p>
                        </w:tc>
                      </w:tr>
                      <w:tr w:rsidR="00AF45DC" w:rsidRPr="003259C4" w:rsidTr="00A34CCF">
                        <w:trPr>
                          <w:trHeight w:val="345"/>
                        </w:trPr>
                        <w:tc>
                          <w:tcPr>
                            <w:cnfStyle w:val="001000000000" w:firstRow="0" w:lastRow="0" w:firstColumn="1" w:lastColumn="0" w:oddVBand="0" w:evenVBand="0" w:oddHBand="0" w:evenHBand="0" w:firstRowFirstColumn="0" w:firstRowLastColumn="0" w:lastRowFirstColumn="0" w:lastRowLastColumn="0"/>
                            <w:tcW w:w="4840" w:type="dxa"/>
                            <w:noWrap/>
                            <w:hideMark/>
                          </w:tcPr>
                          <w:p w:rsidR="00AF45DC" w:rsidRPr="003259C4" w:rsidRDefault="00AF45DC" w:rsidP="00A34CCF">
                            <w:pPr>
                              <w:rPr>
                                <w:rFonts w:ascii="Calibri" w:eastAsia="Times New Roman" w:hAnsi="Calibri" w:cs="Times New Roman"/>
                                <w:b w:val="0"/>
                                <w:color w:val="000000"/>
                              </w:rPr>
                            </w:pPr>
                            <w:r w:rsidRPr="003259C4">
                              <w:rPr>
                                <w:rFonts w:ascii="Calibri" w:eastAsia="Times New Roman" w:hAnsi="Calibri" w:cs="Times New Roman"/>
                                <w:b w:val="0"/>
                                <w:color w:val="000000"/>
                              </w:rPr>
                              <w:t>Transportation and utilities</w:t>
                            </w:r>
                          </w:p>
                        </w:tc>
                        <w:tc>
                          <w:tcPr>
                            <w:tcW w:w="1300" w:type="dxa"/>
                            <w:noWrap/>
                            <w:hideMark/>
                          </w:tcPr>
                          <w:p w:rsidR="00AF45DC" w:rsidRPr="003259C4" w:rsidRDefault="00AF45DC" w:rsidP="004D22D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259C4">
                              <w:rPr>
                                <w:rFonts w:ascii="Calibri" w:eastAsia="Times New Roman" w:hAnsi="Calibri" w:cs="Times New Roman"/>
                                <w:color w:val="000000"/>
                              </w:rPr>
                              <w:t>0.3</w:t>
                            </w:r>
                          </w:p>
                        </w:tc>
                      </w:tr>
                      <w:tr w:rsidR="00AF45DC" w:rsidRPr="003259C4" w:rsidTr="00A34CC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840" w:type="dxa"/>
                            <w:noWrap/>
                            <w:hideMark/>
                          </w:tcPr>
                          <w:p w:rsidR="00AF45DC" w:rsidRPr="003259C4" w:rsidRDefault="00AF45DC" w:rsidP="00A34CCF">
                            <w:pPr>
                              <w:rPr>
                                <w:rFonts w:ascii="Calibri" w:eastAsia="Times New Roman" w:hAnsi="Calibri" w:cs="Times New Roman"/>
                                <w:b w:val="0"/>
                                <w:color w:val="000000"/>
                              </w:rPr>
                            </w:pPr>
                            <w:r w:rsidRPr="003259C4">
                              <w:rPr>
                                <w:rFonts w:ascii="Calibri" w:eastAsia="Times New Roman" w:hAnsi="Calibri" w:cs="Times New Roman"/>
                                <w:b w:val="0"/>
                                <w:color w:val="000000"/>
                              </w:rPr>
                              <w:t>Information</w:t>
                            </w:r>
                          </w:p>
                        </w:tc>
                        <w:tc>
                          <w:tcPr>
                            <w:tcW w:w="1300" w:type="dxa"/>
                            <w:noWrap/>
                            <w:hideMark/>
                          </w:tcPr>
                          <w:p w:rsidR="00AF45DC" w:rsidRPr="003259C4" w:rsidRDefault="00AF45DC" w:rsidP="004D22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259C4">
                              <w:rPr>
                                <w:rFonts w:ascii="Calibri" w:eastAsia="Times New Roman" w:hAnsi="Calibri" w:cs="Times New Roman"/>
                                <w:color w:val="000000"/>
                              </w:rPr>
                              <w:t>-0.1</w:t>
                            </w:r>
                          </w:p>
                        </w:tc>
                      </w:tr>
                      <w:tr w:rsidR="00AF45DC" w:rsidRPr="003259C4" w:rsidTr="00A34CCF">
                        <w:trPr>
                          <w:trHeight w:val="345"/>
                        </w:trPr>
                        <w:tc>
                          <w:tcPr>
                            <w:cnfStyle w:val="001000000000" w:firstRow="0" w:lastRow="0" w:firstColumn="1" w:lastColumn="0" w:oddVBand="0" w:evenVBand="0" w:oddHBand="0" w:evenHBand="0" w:firstRowFirstColumn="0" w:firstRowLastColumn="0" w:lastRowFirstColumn="0" w:lastRowLastColumn="0"/>
                            <w:tcW w:w="4840" w:type="dxa"/>
                            <w:noWrap/>
                            <w:hideMark/>
                          </w:tcPr>
                          <w:p w:rsidR="00AF45DC" w:rsidRPr="003259C4" w:rsidRDefault="00AF45DC" w:rsidP="00A34CCF">
                            <w:pPr>
                              <w:rPr>
                                <w:rFonts w:ascii="Calibri" w:eastAsia="Times New Roman" w:hAnsi="Calibri" w:cs="Times New Roman"/>
                                <w:b w:val="0"/>
                                <w:color w:val="000000"/>
                              </w:rPr>
                            </w:pPr>
                            <w:r w:rsidRPr="003259C4">
                              <w:rPr>
                                <w:rFonts w:ascii="Calibri" w:eastAsia="Times New Roman" w:hAnsi="Calibri" w:cs="Times New Roman"/>
                                <w:b w:val="0"/>
                                <w:color w:val="000000"/>
                              </w:rPr>
                              <w:t>Finance, insurance, and real estate</w:t>
                            </w:r>
                          </w:p>
                        </w:tc>
                        <w:tc>
                          <w:tcPr>
                            <w:tcW w:w="1300" w:type="dxa"/>
                            <w:noWrap/>
                            <w:hideMark/>
                          </w:tcPr>
                          <w:p w:rsidR="00AF45DC" w:rsidRPr="003259C4" w:rsidRDefault="00AF45DC" w:rsidP="004D22D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259C4">
                              <w:rPr>
                                <w:rFonts w:ascii="Calibri" w:eastAsia="Times New Roman" w:hAnsi="Calibri" w:cs="Times New Roman"/>
                                <w:color w:val="000000"/>
                              </w:rPr>
                              <w:t>1.7</w:t>
                            </w:r>
                          </w:p>
                        </w:tc>
                      </w:tr>
                      <w:tr w:rsidR="00AF45DC" w:rsidRPr="003259C4" w:rsidTr="00A34CC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840" w:type="dxa"/>
                            <w:noWrap/>
                            <w:hideMark/>
                          </w:tcPr>
                          <w:p w:rsidR="00AF45DC" w:rsidRPr="003259C4" w:rsidRDefault="00AF45DC" w:rsidP="00A34CCF">
                            <w:pPr>
                              <w:rPr>
                                <w:rFonts w:ascii="Calibri" w:eastAsia="Times New Roman" w:hAnsi="Calibri" w:cs="Times New Roman"/>
                                <w:b w:val="0"/>
                                <w:color w:val="000000"/>
                              </w:rPr>
                            </w:pPr>
                            <w:r w:rsidRPr="003259C4">
                              <w:rPr>
                                <w:rFonts w:ascii="Calibri" w:eastAsia="Times New Roman" w:hAnsi="Calibri" w:cs="Times New Roman"/>
                                <w:b w:val="0"/>
                                <w:color w:val="000000"/>
                              </w:rPr>
                              <w:t>Professional and business services</w:t>
                            </w:r>
                          </w:p>
                        </w:tc>
                        <w:tc>
                          <w:tcPr>
                            <w:tcW w:w="1300" w:type="dxa"/>
                            <w:noWrap/>
                            <w:hideMark/>
                          </w:tcPr>
                          <w:p w:rsidR="00AF45DC" w:rsidRPr="003259C4" w:rsidRDefault="00AF45DC" w:rsidP="004D22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259C4">
                              <w:rPr>
                                <w:rFonts w:ascii="Calibri" w:eastAsia="Times New Roman" w:hAnsi="Calibri" w:cs="Times New Roman"/>
                                <w:color w:val="000000"/>
                              </w:rPr>
                              <w:t>0.5</w:t>
                            </w:r>
                          </w:p>
                        </w:tc>
                      </w:tr>
                      <w:tr w:rsidR="00AF45DC" w:rsidRPr="003259C4" w:rsidTr="00A34CCF">
                        <w:trPr>
                          <w:trHeight w:val="345"/>
                        </w:trPr>
                        <w:tc>
                          <w:tcPr>
                            <w:cnfStyle w:val="001000000000" w:firstRow="0" w:lastRow="0" w:firstColumn="1" w:lastColumn="0" w:oddVBand="0" w:evenVBand="0" w:oddHBand="0" w:evenHBand="0" w:firstRowFirstColumn="0" w:firstRowLastColumn="0" w:lastRowFirstColumn="0" w:lastRowLastColumn="0"/>
                            <w:tcW w:w="4840" w:type="dxa"/>
                            <w:noWrap/>
                            <w:hideMark/>
                          </w:tcPr>
                          <w:p w:rsidR="00AF45DC" w:rsidRPr="003259C4" w:rsidRDefault="00AF45DC" w:rsidP="00A34CCF">
                            <w:pPr>
                              <w:rPr>
                                <w:rFonts w:ascii="Calibri" w:eastAsia="Times New Roman" w:hAnsi="Calibri" w:cs="Times New Roman"/>
                                <w:b w:val="0"/>
                                <w:color w:val="000000"/>
                              </w:rPr>
                            </w:pPr>
                            <w:r w:rsidRPr="003259C4">
                              <w:rPr>
                                <w:rFonts w:ascii="Calibri" w:eastAsia="Times New Roman" w:hAnsi="Calibri" w:cs="Times New Roman"/>
                                <w:b w:val="0"/>
                                <w:color w:val="000000"/>
                              </w:rPr>
                              <w:t>Education, healthcare, and social assistance</w:t>
                            </w:r>
                          </w:p>
                        </w:tc>
                        <w:tc>
                          <w:tcPr>
                            <w:tcW w:w="1300" w:type="dxa"/>
                            <w:noWrap/>
                            <w:hideMark/>
                          </w:tcPr>
                          <w:p w:rsidR="00AF45DC" w:rsidRPr="003259C4" w:rsidRDefault="00AF45DC" w:rsidP="004D22D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259C4">
                              <w:rPr>
                                <w:rFonts w:ascii="Calibri" w:eastAsia="Times New Roman" w:hAnsi="Calibri" w:cs="Times New Roman"/>
                                <w:color w:val="000000"/>
                              </w:rPr>
                              <w:t>0.4</w:t>
                            </w:r>
                          </w:p>
                        </w:tc>
                      </w:tr>
                      <w:tr w:rsidR="00AF45DC" w:rsidRPr="003259C4" w:rsidTr="00A34CC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840" w:type="dxa"/>
                            <w:noWrap/>
                            <w:hideMark/>
                          </w:tcPr>
                          <w:p w:rsidR="00AF45DC" w:rsidRPr="003259C4" w:rsidRDefault="00AF45DC" w:rsidP="00A34CCF">
                            <w:pPr>
                              <w:rPr>
                                <w:rFonts w:ascii="Calibri" w:eastAsia="Times New Roman" w:hAnsi="Calibri" w:cs="Times New Roman"/>
                                <w:b w:val="0"/>
                                <w:color w:val="000000"/>
                              </w:rPr>
                            </w:pPr>
                            <w:r w:rsidRPr="003259C4">
                              <w:rPr>
                                <w:rFonts w:ascii="Calibri" w:eastAsia="Times New Roman" w:hAnsi="Calibri" w:cs="Times New Roman"/>
                                <w:b w:val="0"/>
                                <w:color w:val="000000"/>
                              </w:rPr>
                              <w:t>Arts, recreation, accom</w:t>
                            </w:r>
                            <w:r>
                              <w:rPr>
                                <w:rFonts w:ascii="Calibri" w:eastAsia="Times New Roman" w:hAnsi="Calibri" w:cs="Times New Roman"/>
                                <w:b w:val="0"/>
                                <w:color w:val="000000"/>
                              </w:rPr>
                              <w:t>m</w:t>
                            </w:r>
                            <w:r w:rsidRPr="003259C4">
                              <w:rPr>
                                <w:rFonts w:ascii="Calibri" w:eastAsia="Times New Roman" w:hAnsi="Calibri" w:cs="Times New Roman"/>
                                <w:b w:val="0"/>
                                <w:color w:val="000000"/>
                              </w:rPr>
                              <w:t>odation, and food services</w:t>
                            </w:r>
                          </w:p>
                        </w:tc>
                        <w:tc>
                          <w:tcPr>
                            <w:tcW w:w="1300" w:type="dxa"/>
                            <w:noWrap/>
                            <w:hideMark/>
                          </w:tcPr>
                          <w:p w:rsidR="00AF45DC" w:rsidRPr="003259C4" w:rsidRDefault="00AF45DC" w:rsidP="004D22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259C4">
                              <w:rPr>
                                <w:rFonts w:ascii="Calibri" w:eastAsia="Times New Roman" w:hAnsi="Calibri" w:cs="Times New Roman"/>
                                <w:color w:val="000000"/>
                              </w:rPr>
                              <w:t>0.1</w:t>
                            </w:r>
                          </w:p>
                        </w:tc>
                      </w:tr>
                      <w:tr w:rsidR="00AF45DC" w:rsidRPr="003259C4" w:rsidTr="00A34CCF">
                        <w:trPr>
                          <w:trHeight w:val="345"/>
                        </w:trPr>
                        <w:tc>
                          <w:tcPr>
                            <w:cnfStyle w:val="001000000000" w:firstRow="0" w:lastRow="0" w:firstColumn="1" w:lastColumn="0" w:oddVBand="0" w:evenVBand="0" w:oddHBand="0" w:evenHBand="0" w:firstRowFirstColumn="0" w:firstRowLastColumn="0" w:lastRowFirstColumn="0" w:lastRowLastColumn="0"/>
                            <w:tcW w:w="4840" w:type="dxa"/>
                            <w:noWrap/>
                            <w:hideMark/>
                          </w:tcPr>
                          <w:p w:rsidR="00AF45DC" w:rsidRPr="003259C4" w:rsidRDefault="00AF45DC" w:rsidP="00A34CCF">
                            <w:pPr>
                              <w:rPr>
                                <w:rFonts w:ascii="Calibri" w:eastAsia="Times New Roman" w:hAnsi="Calibri" w:cs="Times New Roman"/>
                                <w:b w:val="0"/>
                                <w:color w:val="000000"/>
                              </w:rPr>
                            </w:pPr>
                            <w:r w:rsidRPr="003259C4">
                              <w:rPr>
                                <w:rFonts w:ascii="Calibri" w:eastAsia="Times New Roman" w:hAnsi="Calibri" w:cs="Times New Roman"/>
                                <w:b w:val="0"/>
                                <w:color w:val="000000"/>
                              </w:rPr>
                              <w:t>Other services, except government</w:t>
                            </w:r>
                          </w:p>
                        </w:tc>
                        <w:tc>
                          <w:tcPr>
                            <w:tcW w:w="1300" w:type="dxa"/>
                            <w:noWrap/>
                            <w:hideMark/>
                          </w:tcPr>
                          <w:p w:rsidR="00AF45DC" w:rsidRPr="003259C4" w:rsidRDefault="00AF45DC" w:rsidP="004D22D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259C4">
                              <w:rPr>
                                <w:rFonts w:ascii="Calibri" w:eastAsia="Times New Roman" w:hAnsi="Calibri" w:cs="Times New Roman"/>
                                <w:color w:val="000000"/>
                              </w:rPr>
                              <w:t>0.1</w:t>
                            </w:r>
                          </w:p>
                        </w:tc>
                      </w:tr>
                      <w:tr w:rsidR="00AF45DC" w:rsidRPr="003259C4" w:rsidTr="00A34CC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840" w:type="dxa"/>
                            <w:noWrap/>
                            <w:hideMark/>
                          </w:tcPr>
                          <w:p w:rsidR="00AF45DC" w:rsidRPr="003259C4" w:rsidRDefault="00AF45DC" w:rsidP="00A34CCF">
                            <w:pPr>
                              <w:rPr>
                                <w:rFonts w:ascii="Calibri" w:eastAsia="Times New Roman" w:hAnsi="Calibri" w:cs="Times New Roman"/>
                                <w:b w:val="0"/>
                                <w:color w:val="000000"/>
                              </w:rPr>
                            </w:pPr>
                            <w:r w:rsidRPr="003259C4">
                              <w:rPr>
                                <w:rFonts w:ascii="Calibri" w:eastAsia="Times New Roman" w:hAnsi="Calibri" w:cs="Times New Roman"/>
                                <w:b w:val="0"/>
                                <w:color w:val="000000"/>
                              </w:rPr>
                              <w:t>Government</w:t>
                            </w:r>
                          </w:p>
                        </w:tc>
                        <w:tc>
                          <w:tcPr>
                            <w:tcW w:w="1300" w:type="dxa"/>
                            <w:noWrap/>
                            <w:hideMark/>
                          </w:tcPr>
                          <w:p w:rsidR="00AF45DC" w:rsidRPr="003259C4" w:rsidRDefault="00AF45DC" w:rsidP="004D22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259C4">
                              <w:rPr>
                                <w:rFonts w:ascii="Calibri" w:eastAsia="Times New Roman" w:hAnsi="Calibri" w:cs="Times New Roman"/>
                                <w:color w:val="000000"/>
                              </w:rPr>
                              <w:t>0.2</w:t>
                            </w:r>
                          </w:p>
                        </w:tc>
                      </w:tr>
                      <w:tr w:rsidR="00AF45DC" w:rsidRPr="003259C4" w:rsidTr="00A34CCF">
                        <w:trPr>
                          <w:trHeight w:val="345"/>
                        </w:trPr>
                        <w:tc>
                          <w:tcPr>
                            <w:cnfStyle w:val="001000000000" w:firstRow="0" w:lastRow="0" w:firstColumn="1" w:lastColumn="0" w:oddVBand="0" w:evenVBand="0" w:oddHBand="0" w:evenHBand="0" w:firstRowFirstColumn="0" w:firstRowLastColumn="0" w:lastRowFirstColumn="0" w:lastRowLastColumn="0"/>
                            <w:tcW w:w="4840" w:type="dxa"/>
                            <w:noWrap/>
                            <w:hideMark/>
                          </w:tcPr>
                          <w:p w:rsidR="00AF45DC" w:rsidRPr="001A2868" w:rsidRDefault="00AF45DC" w:rsidP="00A34CCF">
                            <w:pPr>
                              <w:jc w:val="center"/>
                              <w:rPr>
                                <w:rFonts w:ascii="Calibri" w:eastAsia="Times New Roman" w:hAnsi="Calibri" w:cs="Times New Roman"/>
                                <w:color w:val="000000"/>
                              </w:rPr>
                            </w:pPr>
                            <w:r w:rsidRPr="001A2868">
                              <w:rPr>
                                <w:rFonts w:ascii="Calibri" w:eastAsia="Times New Roman" w:hAnsi="Calibri" w:cs="Times New Roman"/>
                                <w:color w:val="000000"/>
                              </w:rPr>
                              <w:t xml:space="preserve">Total </w:t>
                            </w:r>
                          </w:p>
                        </w:tc>
                        <w:tc>
                          <w:tcPr>
                            <w:tcW w:w="1300" w:type="dxa"/>
                            <w:noWrap/>
                            <w:hideMark/>
                          </w:tcPr>
                          <w:p w:rsidR="00AF45DC" w:rsidRPr="001A2868" w:rsidRDefault="00AF45DC" w:rsidP="004D22D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1A2868">
                              <w:rPr>
                                <w:rFonts w:ascii="Calibri" w:eastAsia="Times New Roman" w:hAnsi="Calibri" w:cs="Times New Roman"/>
                                <w:b/>
                                <w:color w:val="000000"/>
                              </w:rPr>
                              <w:t>3.9</w:t>
                            </w:r>
                          </w:p>
                        </w:tc>
                      </w:tr>
                    </w:tbl>
                    <w:tbl>
                      <w:tblPr>
                        <w:tblW w:w="4230" w:type="dxa"/>
                        <w:tblLook w:val="04A0" w:firstRow="1" w:lastRow="0" w:firstColumn="1" w:lastColumn="0" w:noHBand="0" w:noVBand="1"/>
                      </w:tblPr>
                      <w:tblGrid>
                        <w:gridCol w:w="4230"/>
                      </w:tblGrid>
                      <w:tr w:rsidR="00AF45DC" w:rsidRPr="00B416A3" w:rsidTr="004C2860">
                        <w:trPr>
                          <w:trHeight w:val="390"/>
                        </w:trPr>
                        <w:tc>
                          <w:tcPr>
                            <w:tcW w:w="4230" w:type="dxa"/>
                            <w:tcBorders>
                              <w:top w:val="nil"/>
                              <w:left w:val="nil"/>
                              <w:bottom w:val="nil"/>
                              <w:right w:val="nil"/>
                            </w:tcBorders>
                            <w:shd w:val="clear" w:color="auto" w:fill="auto"/>
                            <w:noWrap/>
                            <w:vAlign w:val="center"/>
                            <w:hideMark/>
                          </w:tcPr>
                          <w:p w:rsidR="00AF45DC" w:rsidRPr="00B416A3" w:rsidRDefault="00AF45DC" w:rsidP="004C2860">
                            <w:pPr>
                              <w:spacing w:after="0" w:line="240" w:lineRule="auto"/>
                              <w:rPr>
                                <w:rFonts w:ascii="Calibri" w:eastAsia="Times New Roman" w:hAnsi="Calibri" w:cs="Times New Roman"/>
                                <w:color w:val="000000"/>
                                <w:sz w:val="18"/>
                                <w:szCs w:val="18"/>
                              </w:rPr>
                            </w:pPr>
                            <w:r w:rsidRPr="00B416A3">
                              <w:rPr>
                                <w:rFonts w:ascii="Calibri" w:eastAsia="Times New Roman" w:hAnsi="Calibri" w:cs="Times New Roman"/>
                                <w:color w:val="000000"/>
                                <w:sz w:val="18"/>
                                <w:szCs w:val="18"/>
                              </w:rPr>
                              <w:t>Source: U.S. Bureau of Economic Analysis</w:t>
                            </w:r>
                          </w:p>
                        </w:tc>
                      </w:tr>
                    </w:tbl>
                    <w:p w:rsidR="00AF45DC" w:rsidRDefault="00AF45DC"/>
                  </w:txbxContent>
                </v:textbox>
                <w10:wrap type="square" anchorx="margin"/>
              </v:shape>
            </w:pict>
          </mc:Fallback>
        </mc:AlternateContent>
      </w:r>
      <w:r>
        <w:rPr>
          <w:rFonts w:eastAsia="Times New Roman" w:cs="Tahoma"/>
          <w:color w:val="333333"/>
          <w:sz w:val="24"/>
          <w:szCs w:val="24"/>
        </w:rPr>
        <w:t>Table 4 shows t</w:t>
      </w:r>
      <w:r w:rsidR="005765A9" w:rsidRPr="000664B8">
        <w:rPr>
          <w:rFonts w:eastAsia="Times New Roman" w:cs="Tahoma"/>
          <w:color w:val="333333"/>
          <w:sz w:val="24"/>
          <w:szCs w:val="24"/>
        </w:rPr>
        <w:t>he</w:t>
      </w:r>
      <w:r w:rsidR="000664B8" w:rsidRPr="000664B8">
        <w:rPr>
          <w:rFonts w:eastAsia="Times New Roman" w:cs="Tahoma"/>
          <w:color w:val="333333"/>
          <w:sz w:val="24"/>
          <w:szCs w:val="24"/>
        </w:rPr>
        <w:t xml:space="preserve"> percent</w:t>
      </w:r>
      <w:r w:rsidR="000664B8">
        <w:rPr>
          <w:rFonts w:eastAsia="Times New Roman" w:cs="Tahoma"/>
          <w:color w:val="333333"/>
          <w:sz w:val="24"/>
          <w:szCs w:val="24"/>
        </w:rPr>
        <w:t xml:space="preserve"> </w:t>
      </w:r>
      <w:r w:rsidR="000664B8" w:rsidRPr="000664B8">
        <w:rPr>
          <w:rFonts w:cs="Tahoma"/>
          <w:noProof/>
          <w:sz w:val="24"/>
          <w:szCs w:val="24"/>
        </w:rPr>
        <w:t>contribution</w:t>
      </w:r>
      <w:r w:rsidR="000664B8">
        <w:rPr>
          <w:rFonts w:cs="Tahoma"/>
          <w:noProof/>
          <w:sz w:val="24"/>
          <w:szCs w:val="24"/>
        </w:rPr>
        <w:t xml:space="preserve"> </w:t>
      </w:r>
      <w:r w:rsidR="000664B8" w:rsidRPr="000664B8">
        <w:rPr>
          <w:rFonts w:cs="Tahoma"/>
          <w:noProof/>
          <w:sz w:val="24"/>
          <w:szCs w:val="24"/>
        </w:rPr>
        <w:t>by</w:t>
      </w:r>
      <w:r w:rsidR="0008211B">
        <w:rPr>
          <w:rFonts w:cs="Tahoma"/>
          <w:noProof/>
          <w:sz w:val="24"/>
          <w:szCs w:val="24"/>
        </w:rPr>
        <w:t xml:space="preserve"> </w:t>
      </w:r>
      <w:r w:rsidR="0008211B" w:rsidRPr="000664B8">
        <w:rPr>
          <w:rFonts w:cs="Tahoma"/>
          <w:noProof/>
          <w:sz w:val="24"/>
          <w:szCs w:val="24"/>
        </w:rPr>
        <w:t xml:space="preserve">each sector to the 3.9 </w:t>
      </w:r>
      <w:r w:rsidR="0008211B">
        <w:rPr>
          <w:rFonts w:cs="Tahoma"/>
          <w:noProof/>
          <w:sz w:val="24"/>
          <w:szCs w:val="24"/>
        </w:rPr>
        <w:t xml:space="preserve">total </w:t>
      </w:r>
      <w:r w:rsidR="0008211B" w:rsidRPr="000664B8">
        <w:rPr>
          <w:rFonts w:cs="Tahoma"/>
          <w:noProof/>
          <w:sz w:val="24"/>
          <w:szCs w:val="24"/>
        </w:rPr>
        <w:t>annual percent change in Waco’s 2016 real GDP</w:t>
      </w:r>
      <w:r>
        <w:rPr>
          <w:rFonts w:cs="Tahoma"/>
          <w:noProof/>
          <w:sz w:val="24"/>
          <w:szCs w:val="24"/>
        </w:rPr>
        <w:t>.</w:t>
      </w:r>
      <w:r w:rsidR="001E07EA">
        <w:rPr>
          <w:rFonts w:cs="Tahoma"/>
          <w:noProof/>
          <w:sz w:val="24"/>
          <w:szCs w:val="24"/>
        </w:rPr>
        <w:t xml:space="preserve"> </w:t>
      </w:r>
      <w:r w:rsidR="0008211B" w:rsidRPr="000664B8">
        <w:rPr>
          <w:rFonts w:cs="Tahoma"/>
          <w:noProof/>
          <w:sz w:val="24"/>
          <w:szCs w:val="24"/>
        </w:rPr>
        <w:t xml:space="preserve"> </w:t>
      </w:r>
      <w:r w:rsidR="00745F7E" w:rsidRPr="000664B8">
        <w:rPr>
          <w:rFonts w:cs="Tahoma"/>
          <w:noProof/>
          <w:sz w:val="24"/>
          <w:szCs w:val="24"/>
        </w:rPr>
        <w:t xml:space="preserve">Nearly every sector of the </w:t>
      </w:r>
      <w:r w:rsidR="0015190D">
        <w:rPr>
          <w:rFonts w:cs="Tahoma"/>
          <w:noProof/>
          <w:sz w:val="24"/>
          <w:szCs w:val="24"/>
        </w:rPr>
        <w:t xml:space="preserve">Waco </w:t>
      </w:r>
      <w:r w:rsidR="00745F7E" w:rsidRPr="000664B8">
        <w:rPr>
          <w:rFonts w:cs="Tahoma"/>
          <w:noProof/>
          <w:sz w:val="24"/>
          <w:szCs w:val="24"/>
        </w:rPr>
        <w:t xml:space="preserve">economy exhibited positive </w:t>
      </w:r>
      <w:r w:rsidR="0015190D">
        <w:rPr>
          <w:rFonts w:cs="Tahoma"/>
          <w:noProof/>
          <w:sz w:val="24"/>
          <w:szCs w:val="24"/>
        </w:rPr>
        <w:t xml:space="preserve">output </w:t>
      </w:r>
      <w:r w:rsidR="00745F7E" w:rsidRPr="000664B8">
        <w:rPr>
          <w:rFonts w:cs="Tahoma"/>
          <w:noProof/>
          <w:sz w:val="24"/>
          <w:szCs w:val="24"/>
        </w:rPr>
        <w:t>growth</w:t>
      </w:r>
      <w:r w:rsidR="001E07EA">
        <w:rPr>
          <w:rFonts w:cs="Tahoma"/>
          <w:noProof/>
          <w:sz w:val="24"/>
          <w:szCs w:val="24"/>
        </w:rPr>
        <w:t xml:space="preserve"> in 2016</w:t>
      </w:r>
      <w:r w:rsidR="00745F7E" w:rsidRPr="000664B8">
        <w:rPr>
          <w:rFonts w:cs="Tahoma"/>
          <w:noProof/>
          <w:sz w:val="24"/>
          <w:szCs w:val="24"/>
        </w:rPr>
        <w:t xml:space="preserve">, although </w:t>
      </w:r>
      <w:r w:rsidR="0008211B">
        <w:rPr>
          <w:rFonts w:cs="Tahoma"/>
          <w:noProof/>
          <w:sz w:val="24"/>
          <w:szCs w:val="24"/>
        </w:rPr>
        <w:t xml:space="preserve">gains in </w:t>
      </w:r>
      <w:r w:rsidR="001E07EA">
        <w:rPr>
          <w:rFonts w:cs="Tahoma"/>
          <w:noProof/>
          <w:sz w:val="24"/>
          <w:szCs w:val="24"/>
        </w:rPr>
        <w:t xml:space="preserve">non- </w:t>
      </w:r>
      <w:r w:rsidR="00745F7E" w:rsidRPr="000664B8">
        <w:rPr>
          <w:rFonts w:cs="Tahoma"/>
          <w:noProof/>
          <w:sz w:val="24"/>
          <w:szCs w:val="24"/>
        </w:rPr>
        <w:t>durable</w:t>
      </w:r>
      <w:r w:rsidR="0008211B">
        <w:rPr>
          <w:rFonts w:cs="Tahoma"/>
          <w:noProof/>
          <w:sz w:val="24"/>
          <w:szCs w:val="24"/>
        </w:rPr>
        <w:t xml:space="preserve"> </w:t>
      </w:r>
      <w:r w:rsidR="001E07EA">
        <w:rPr>
          <w:rFonts w:cs="Tahoma"/>
          <w:noProof/>
          <w:sz w:val="24"/>
          <w:szCs w:val="24"/>
        </w:rPr>
        <w:t xml:space="preserve">manufactured </w:t>
      </w:r>
      <w:r w:rsidR="001E07EA">
        <w:rPr>
          <w:rFonts w:cs="Tahoma"/>
          <w:noProof/>
          <w:sz w:val="24"/>
          <w:szCs w:val="24"/>
        </w:rPr>
        <w:t>goods</w:t>
      </w:r>
      <w:r w:rsidR="001E07EA">
        <w:rPr>
          <w:rFonts w:cs="Tahoma"/>
          <w:noProof/>
          <w:sz w:val="24"/>
          <w:szCs w:val="24"/>
        </w:rPr>
        <w:t xml:space="preserve"> </w:t>
      </w:r>
      <w:r w:rsidR="00745F7E">
        <w:rPr>
          <w:rFonts w:cs="Tahoma"/>
          <w:noProof/>
          <w:sz w:val="24"/>
          <w:szCs w:val="24"/>
        </w:rPr>
        <w:t xml:space="preserve">served to offset losses in the durable sector.  </w:t>
      </w:r>
      <w:r w:rsidR="000664B8">
        <w:rPr>
          <w:rFonts w:cs="Tahoma"/>
          <w:noProof/>
          <w:sz w:val="24"/>
          <w:szCs w:val="24"/>
        </w:rPr>
        <w:t>The s</w:t>
      </w:r>
      <w:r w:rsidR="00745F7E">
        <w:rPr>
          <w:rFonts w:cs="Tahoma"/>
          <w:noProof/>
          <w:sz w:val="24"/>
          <w:szCs w:val="24"/>
        </w:rPr>
        <w:t>tro</w:t>
      </w:r>
      <w:r w:rsidR="000664B8">
        <w:rPr>
          <w:rFonts w:cs="Tahoma"/>
          <w:noProof/>
          <w:sz w:val="24"/>
          <w:szCs w:val="24"/>
        </w:rPr>
        <w:t>n</w:t>
      </w:r>
      <w:r w:rsidR="00745F7E">
        <w:rPr>
          <w:rFonts w:cs="Tahoma"/>
          <w:noProof/>
          <w:sz w:val="24"/>
          <w:szCs w:val="24"/>
        </w:rPr>
        <w:t xml:space="preserve">gest positive growth occurred in </w:t>
      </w:r>
      <w:r w:rsidR="000664B8">
        <w:rPr>
          <w:rFonts w:cs="Tahoma"/>
          <w:noProof/>
          <w:sz w:val="24"/>
          <w:szCs w:val="24"/>
        </w:rPr>
        <w:t xml:space="preserve">the </w:t>
      </w:r>
      <w:r w:rsidR="00745F7E">
        <w:rPr>
          <w:rFonts w:cs="Tahoma"/>
          <w:noProof/>
          <w:sz w:val="24"/>
          <w:szCs w:val="24"/>
        </w:rPr>
        <w:t xml:space="preserve">output of finance, insurance, and real estate </w:t>
      </w:r>
      <w:r w:rsidR="0008211B">
        <w:rPr>
          <w:rFonts w:cs="Tahoma"/>
          <w:noProof/>
          <w:sz w:val="24"/>
          <w:szCs w:val="24"/>
        </w:rPr>
        <w:t xml:space="preserve">firms </w:t>
      </w:r>
      <w:r w:rsidR="001E07EA">
        <w:rPr>
          <w:rFonts w:cs="Tahoma"/>
          <w:noProof/>
          <w:sz w:val="24"/>
          <w:szCs w:val="24"/>
        </w:rPr>
        <w:t>followed by</w:t>
      </w:r>
      <w:r w:rsidR="00745F7E">
        <w:rPr>
          <w:rFonts w:cs="Tahoma"/>
          <w:noProof/>
          <w:sz w:val="24"/>
          <w:szCs w:val="24"/>
        </w:rPr>
        <w:t xml:space="preserve"> significant growth in construction </w:t>
      </w:r>
      <w:r w:rsidR="001E07EA">
        <w:rPr>
          <w:rFonts w:cs="Tahoma"/>
          <w:noProof/>
          <w:sz w:val="24"/>
          <w:szCs w:val="24"/>
        </w:rPr>
        <w:t xml:space="preserve">output </w:t>
      </w:r>
      <w:r w:rsidR="00745F7E">
        <w:rPr>
          <w:rFonts w:cs="Tahoma"/>
          <w:noProof/>
          <w:sz w:val="24"/>
          <w:szCs w:val="24"/>
        </w:rPr>
        <w:t>and professional and business services</w:t>
      </w:r>
      <w:r w:rsidR="0008211B">
        <w:rPr>
          <w:rFonts w:cs="Tahoma"/>
          <w:noProof/>
          <w:sz w:val="24"/>
          <w:szCs w:val="24"/>
        </w:rPr>
        <w:t>, followed closely by education, healthcare, and social assistance.</w:t>
      </w:r>
    </w:p>
    <w:p w:rsidR="00681851" w:rsidRDefault="004C2860" w:rsidP="007217BB">
      <w:pPr>
        <w:spacing w:after="0" w:line="300" w:lineRule="auto"/>
        <w:rPr>
          <w:rFonts w:cs="Tahoma"/>
          <w:noProof/>
          <w:sz w:val="24"/>
          <w:szCs w:val="24"/>
        </w:rPr>
      </w:pPr>
      <w:r>
        <w:rPr>
          <w:rFonts w:cs="Tahoma"/>
          <w:noProof/>
          <w:sz w:val="24"/>
          <w:szCs w:val="24"/>
        </w:rPr>
        <w:t xml:space="preserve">As previously noted beginning in the third quarter of 2016 the annual rate of change in the monthly labor force and employment slowed, but </w:t>
      </w:r>
      <w:r w:rsidR="000707C5">
        <w:rPr>
          <w:rFonts w:cs="Tahoma"/>
          <w:noProof/>
          <w:sz w:val="24"/>
          <w:szCs w:val="24"/>
        </w:rPr>
        <w:t xml:space="preserve">because of their </w:t>
      </w:r>
      <w:r>
        <w:rPr>
          <w:rFonts w:cs="Tahoma"/>
          <w:noProof/>
          <w:sz w:val="24"/>
          <w:szCs w:val="24"/>
        </w:rPr>
        <w:t xml:space="preserve">rapid growth early in the year </w:t>
      </w:r>
      <w:r w:rsidR="000707C5">
        <w:rPr>
          <w:rFonts w:cs="Tahoma"/>
          <w:noProof/>
          <w:sz w:val="24"/>
          <w:szCs w:val="24"/>
        </w:rPr>
        <w:t xml:space="preserve">the annual pace of growth in real GDP reached reached a five-year high. </w:t>
      </w:r>
      <w:r>
        <w:rPr>
          <w:rFonts w:cs="Tahoma"/>
          <w:noProof/>
          <w:sz w:val="24"/>
          <w:szCs w:val="24"/>
        </w:rPr>
        <w:t xml:space="preserve">  </w:t>
      </w:r>
      <w:r w:rsidR="002A37D5">
        <w:rPr>
          <w:rFonts w:cs="Tahoma"/>
          <w:noProof/>
          <w:sz w:val="24"/>
          <w:szCs w:val="24"/>
        </w:rPr>
        <w:t xml:space="preserve">It’s too early to </w:t>
      </w:r>
      <w:r w:rsidR="000707C5">
        <w:rPr>
          <w:rFonts w:cs="Tahoma"/>
          <w:noProof/>
          <w:sz w:val="24"/>
          <w:szCs w:val="24"/>
        </w:rPr>
        <w:t xml:space="preserve">predict the </w:t>
      </w:r>
      <w:r w:rsidR="002A37D5">
        <w:rPr>
          <w:rFonts w:cs="Tahoma"/>
          <w:noProof/>
          <w:sz w:val="24"/>
          <w:szCs w:val="24"/>
        </w:rPr>
        <w:t xml:space="preserve">annual rate of </w:t>
      </w:r>
      <w:r w:rsidR="000707C5">
        <w:rPr>
          <w:rFonts w:cs="Tahoma"/>
          <w:noProof/>
          <w:sz w:val="24"/>
          <w:szCs w:val="24"/>
        </w:rPr>
        <w:t>change</w:t>
      </w:r>
      <w:r w:rsidR="002A37D5">
        <w:rPr>
          <w:rFonts w:cs="Tahoma"/>
          <w:noProof/>
          <w:sz w:val="24"/>
          <w:szCs w:val="24"/>
        </w:rPr>
        <w:t xml:space="preserve"> in employment </w:t>
      </w:r>
      <w:r w:rsidR="000707C5">
        <w:rPr>
          <w:rFonts w:cs="Tahoma"/>
          <w:noProof/>
          <w:sz w:val="24"/>
          <w:szCs w:val="24"/>
        </w:rPr>
        <w:t>in the immediate future,</w:t>
      </w:r>
      <w:r w:rsidR="002A37D5">
        <w:rPr>
          <w:rFonts w:cs="Tahoma"/>
          <w:noProof/>
          <w:sz w:val="24"/>
          <w:szCs w:val="24"/>
        </w:rPr>
        <w:t xml:space="preserve"> since it includes the impact of slower job creation in several industries that had been </w:t>
      </w:r>
      <w:r w:rsidR="000707C5">
        <w:rPr>
          <w:rFonts w:cs="Tahoma"/>
          <w:noProof/>
          <w:sz w:val="24"/>
          <w:szCs w:val="24"/>
        </w:rPr>
        <w:t>growing</w:t>
      </w:r>
      <w:r w:rsidR="002A37D5">
        <w:rPr>
          <w:rFonts w:cs="Tahoma"/>
          <w:noProof/>
          <w:sz w:val="24"/>
          <w:szCs w:val="24"/>
        </w:rPr>
        <w:t xml:space="preserve"> until recently.  </w:t>
      </w:r>
      <w:r w:rsidR="00681851">
        <w:rPr>
          <w:rFonts w:cs="Tahoma"/>
          <w:noProof/>
          <w:sz w:val="24"/>
          <w:szCs w:val="24"/>
        </w:rPr>
        <w:t xml:space="preserve">But, there </w:t>
      </w:r>
      <w:r w:rsidR="007217BB">
        <w:rPr>
          <w:rFonts w:cs="Tahoma"/>
          <w:noProof/>
          <w:sz w:val="24"/>
          <w:szCs w:val="24"/>
        </w:rPr>
        <w:t>are a number of persons and investors, including</w:t>
      </w:r>
      <w:r w:rsidR="00414352">
        <w:rPr>
          <w:rFonts w:cs="Tahoma"/>
          <w:noProof/>
          <w:sz w:val="24"/>
          <w:szCs w:val="24"/>
        </w:rPr>
        <w:t xml:space="preserve"> retirees and</w:t>
      </w:r>
      <w:r w:rsidR="007217BB">
        <w:rPr>
          <w:rFonts w:cs="Tahoma"/>
          <w:noProof/>
          <w:sz w:val="24"/>
          <w:szCs w:val="24"/>
        </w:rPr>
        <w:t xml:space="preserve"> </w:t>
      </w:r>
      <w:r w:rsidR="00414352">
        <w:rPr>
          <w:rFonts w:cs="Tahoma"/>
          <w:noProof/>
          <w:sz w:val="24"/>
          <w:szCs w:val="24"/>
        </w:rPr>
        <w:t xml:space="preserve">businesses, that continue to be attracted to </w:t>
      </w:r>
      <w:r w:rsidR="007217BB">
        <w:rPr>
          <w:rFonts w:cs="Tahoma"/>
          <w:noProof/>
          <w:sz w:val="24"/>
          <w:szCs w:val="24"/>
        </w:rPr>
        <w:t>Waco</w:t>
      </w:r>
      <w:r w:rsidR="00414352">
        <w:rPr>
          <w:rFonts w:cs="Tahoma"/>
          <w:noProof/>
          <w:sz w:val="24"/>
          <w:szCs w:val="24"/>
        </w:rPr>
        <w:t xml:space="preserve">’s favorable amenities, cost of living, and central location. </w:t>
      </w:r>
      <w:r w:rsidR="007217BB">
        <w:rPr>
          <w:rFonts w:cs="Tahoma"/>
          <w:noProof/>
          <w:sz w:val="24"/>
          <w:szCs w:val="24"/>
        </w:rPr>
        <w:t xml:space="preserve">   </w:t>
      </w:r>
    </w:p>
    <w:p w:rsidR="005765A9" w:rsidRPr="00F611E7" w:rsidRDefault="005765A9" w:rsidP="00414352">
      <w:pPr>
        <w:spacing w:before="120" w:after="0" w:line="240" w:lineRule="auto"/>
        <w:jc w:val="center"/>
        <w:rPr>
          <w:rFonts w:cs="Tahoma"/>
          <w:b/>
          <w:noProof/>
          <w:sz w:val="24"/>
          <w:szCs w:val="24"/>
        </w:rPr>
      </w:pPr>
      <w:r w:rsidRPr="00F611E7">
        <w:rPr>
          <w:rFonts w:cs="Tahoma"/>
          <w:b/>
          <w:noProof/>
          <w:sz w:val="24"/>
          <w:szCs w:val="24"/>
        </w:rPr>
        <w:t xml:space="preserve">Table </w:t>
      </w:r>
      <w:r w:rsidR="000707C5">
        <w:rPr>
          <w:rFonts w:cs="Tahoma"/>
          <w:b/>
          <w:noProof/>
          <w:sz w:val="24"/>
          <w:szCs w:val="24"/>
        </w:rPr>
        <w:t>5</w:t>
      </w:r>
    </w:p>
    <w:p w:rsidR="005765A9" w:rsidRDefault="005765A9" w:rsidP="00414352">
      <w:pPr>
        <w:tabs>
          <w:tab w:val="left" w:pos="720"/>
        </w:tabs>
        <w:spacing w:after="0" w:line="240" w:lineRule="auto"/>
        <w:jc w:val="center"/>
        <w:rPr>
          <w:rFonts w:cs="Tahoma"/>
          <w:b/>
          <w:noProof/>
          <w:sz w:val="24"/>
          <w:szCs w:val="24"/>
        </w:rPr>
      </w:pPr>
      <w:r w:rsidRPr="00F611E7">
        <w:rPr>
          <w:rFonts w:cs="Tahoma"/>
          <w:b/>
          <w:noProof/>
          <w:sz w:val="24"/>
          <w:szCs w:val="24"/>
        </w:rPr>
        <w:t>2017 Monthly Total and Annual Percent Change in Waco MSA Employment</w:t>
      </w:r>
    </w:p>
    <w:tbl>
      <w:tblPr>
        <w:tblStyle w:val="PlainTable1"/>
        <w:tblW w:w="9288" w:type="dxa"/>
        <w:tblLook w:val="04A0" w:firstRow="1" w:lastRow="0" w:firstColumn="1" w:lastColumn="0" w:noHBand="0" w:noVBand="1"/>
      </w:tblPr>
      <w:tblGrid>
        <w:gridCol w:w="3685"/>
        <w:gridCol w:w="914"/>
        <w:gridCol w:w="900"/>
        <w:gridCol w:w="941"/>
        <w:gridCol w:w="949"/>
        <w:gridCol w:w="941"/>
        <w:gridCol w:w="958"/>
      </w:tblGrid>
      <w:tr w:rsidR="00B0668A" w:rsidRPr="00834D5A" w:rsidTr="00027055">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5" w:type="dxa"/>
            <w:noWrap/>
            <w:hideMark/>
          </w:tcPr>
          <w:p w:rsidR="00B0668A" w:rsidRPr="00834D5A" w:rsidRDefault="00B0668A" w:rsidP="00027055">
            <w:pPr>
              <w:spacing w:before="240" w:line="276" w:lineRule="auto"/>
              <w:jc w:val="center"/>
              <w:rPr>
                <w:rFonts w:eastAsia="Times New Roman" w:cs="Tahoma"/>
                <w:b w:val="0"/>
                <w:color w:val="000000"/>
                <w:sz w:val="24"/>
                <w:szCs w:val="24"/>
              </w:rPr>
            </w:pPr>
            <w:r w:rsidRPr="00834D5A">
              <w:rPr>
                <w:rFonts w:eastAsia="Times New Roman" w:cs="Tahoma"/>
                <w:b w:val="0"/>
                <w:color w:val="000000"/>
                <w:sz w:val="24"/>
                <w:szCs w:val="24"/>
              </w:rPr>
              <w:t>Industry Category</w:t>
            </w:r>
          </w:p>
        </w:tc>
        <w:tc>
          <w:tcPr>
            <w:tcW w:w="914" w:type="dxa"/>
            <w:noWrap/>
            <w:hideMark/>
          </w:tcPr>
          <w:p w:rsidR="00B0668A" w:rsidRPr="00834D5A" w:rsidRDefault="00B0668A" w:rsidP="00027055">
            <w:pPr>
              <w:spacing w:before="240" w:line="276" w:lineRule="auto"/>
              <w:ind w:firstLineChars="100" w:firstLine="240"/>
              <w:cnfStyle w:val="100000000000" w:firstRow="1" w:lastRow="0" w:firstColumn="0" w:lastColumn="0" w:oddVBand="0" w:evenVBand="0" w:oddHBand="0" w:evenHBand="0" w:firstRowFirstColumn="0" w:firstRowLastColumn="0" w:lastRowFirstColumn="0" w:lastRowLastColumn="0"/>
              <w:rPr>
                <w:rFonts w:eastAsia="Times New Roman" w:cs="Tahoma"/>
                <w:b w:val="0"/>
                <w:color w:val="000000"/>
                <w:sz w:val="24"/>
                <w:szCs w:val="24"/>
              </w:rPr>
            </w:pPr>
            <w:r w:rsidRPr="00834D5A">
              <w:rPr>
                <w:rFonts w:eastAsia="Times New Roman" w:cs="Tahoma"/>
                <w:b w:val="0"/>
                <w:color w:val="000000"/>
                <w:sz w:val="24"/>
                <w:szCs w:val="24"/>
              </w:rPr>
              <w:t>May</w:t>
            </w:r>
          </w:p>
        </w:tc>
        <w:tc>
          <w:tcPr>
            <w:tcW w:w="900" w:type="dxa"/>
            <w:noWrap/>
            <w:hideMark/>
          </w:tcPr>
          <w:p w:rsidR="00B0668A" w:rsidRPr="00834D5A" w:rsidRDefault="00B0668A" w:rsidP="00027055">
            <w:pPr>
              <w:spacing w:before="240" w:line="276" w:lineRule="auto"/>
              <w:ind w:firstLineChars="100" w:firstLine="240"/>
              <w:cnfStyle w:val="100000000000" w:firstRow="1" w:lastRow="0" w:firstColumn="0" w:lastColumn="0" w:oddVBand="0" w:evenVBand="0" w:oddHBand="0" w:evenHBand="0" w:firstRowFirstColumn="0" w:firstRowLastColumn="0" w:lastRowFirstColumn="0" w:lastRowLastColumn="0"/>
              <w:rPr>
                <w:rFonts w:eastAsia="Times New Roman" w:cs="Tahoma"/>
                <w:b w:val="0"/>
                <w:color w:val="000000"/>
                <w:sz w:val="24"/>
                <w:szCs w:val="24"/>
              </w:rPr>
            </w:pPr>
            <w:r w:rsidRPr="00834D5A">
              <w:rPr>
                <w:rFonts w:eastAsia="Times New Roman" w:cs="Tahoma"/>
                <w:b w:val="0"/>
                <w:color w:val="000000"/>
                <w:sz w:val="24"/>
                <w:szCs w:val="24"/>
              </w:rPr>
              <w:t>Jun</w:t>
            </w:r>
          </w:p>
        </w:tc>
        <w:tc>
          <w:tcPr>
            <w:tcW w:w="941" w:type="dxa"/>
            <w:noWrap/>
          </w:tcPr>
          <w:p w:rsidR="00B0668A" w:rsidRPr="00834D5A" w:rsidRDefault="00B0668A" w:rsidP="00027055">
            <w:pPr>
              <w:spacing w:before="240" w:line="276" w:lineRule="auto"/>
              <w:ind w:firstLineChars="100" w:firstLine="240"/>
              <w:cnfStyle w:val="100000000000" w:firstRow="1" w:lastRow="0" w:firstColumn="0" w:lastColumn="0" w:oddVBand="0" w:evenVBand="0" w:oddHBand="0" w:evenHBand="0" w:firstRowFirstColumn="0" w:firstRowLastColumn="0" w:lastRowFirstColumn="0" w:lastRowLastColumn="0"/>
              <w:rPr>
                <w:rFonts w:eastAsia="Times New Roman" w:cs="Tahoma"/>
                <w:b w:val="0"/>
                <w:color w:val="000000"/>
                <w:sz w:val="24"/>
                <w:szCs w:val="24"/>
              </w:rPr>
            </w:pPr>
            <w:r w:rsidRPr="00834D5A">
              <w:rPr>
                <w:rFonts w:eastAsia="Times New Roman" w:cs="Tahoma"/>
                <w:b w:val="0"/>
                <w:color w:val="000000"/>
                <w:sz w:val="24"/>
                <w:szCs w:val="24"/>
              </w:rPr>
              <w:t>Jul</w:t>
            </w:r>
          </w:p>
        </w:tc>
        <w:tc>
          <w:tcPr>
            <w:tcW w:w="949" w:type="dxa"/>
            <w:noWrap/>
          </w:tcPr>
          <w:p w:rsidR="00B0668A" w:rsidRPr="00834D5A" w:rsidRDefault="00B0668A" w:rsidP="00027055">
            <w:pPr>
              <w:spacing w:before="240"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ahoma"/>
                <w:b w:val="0"/>
                <w:color w:val="000000"/>
                <w:sz w:val="24"/>
                <w:szCs w:val="24"/>
              </w:rPr>
            </w:pPr>
            <w:r w:rsidRPr="00834D5A">
              <w:rPr>
                <w:rFonts w:eastAsia="Times New Roman" w:cs="Tahoma"/>
                <w:b w:val="0"/>
                <w:color w:val="000000"/>
                <w:sz w:val="24"/>
                <w:szCs w:val="24"/>
              </w:rPr>
              <w:t>Aug</w:t>
            </w:r>
          </w:p>
        </w:tc>
        <w:tc>
          <w:tcPr>
            <w:tcW w:w="941" w:type="dxa"/>
            <w:noWrap/>
          </w:tcPr>
          <w:p w:rsidR="00B0668A" w:rsidRPr="00834D5A" w:rsidRDefault="00B0668A" w:rsidP="00027055">
            <w:pPr>
              <w:spacing w:before="240" w:line="276" w:lineRule="auto"/>
              <w:cnfStyle w:val="100000000000" w:firstRow="1" w:lastRow="0" w:firstColumn="0" w:lastColumn="0" w:oddVBand="0" w:evenVBand="0" w:oddHBand="0" w:evenHBand="0" w:firstRowFirstColumn="0" w:firstRowLastColumn="0" w:lastRowFirstColumn="0" w:lastRowLastColumn="0"/>
              <w:rPr>
                <w:rFonts w:eastAsia="Times New Roman" w:cs="Tahoma"/>
                <w:b w:val="0"/>
                <w:color w:val="000000"/>
                <w:sz w:val="24"/>
                <w:szCs w:val="24"/>
              </w:rPr>
            </w:pPr>
            <w:r>
              <w:rPr>
                <w:rFonts w:eastAsia="Times New Roman" w:cs="Tahoma"/>
                <w:b w:val="0"/>
                <w:color w:val="000000"/>
                <w:sz w:val="24"/>
                <w:szCs w:val="24"/>
              </w:rPr>
              <w:t xml:space="preserve">   </w:t>
            </w:r>
            <w:r w:rsidRPr="00834D5A">
              <w:rPr>
                <w:rFonts w:eastAsia="Times New Roman" w:cs="Tahoma"/>
                <w:b w:val="0"/>
                <w:color w:val="000000"/>
                <w:sz w:val="24"/>
                <w:szCs w:val="24"/>
              </w:rPr>
              <w:t>Sep</w:t>
            </w:r>
          </w:p>
        </w:tc>
        <w:tc>
          <w:tcPr>
            <w:tcW w:w="958" w:type="dxa"/>
            <w:noWrap/>
          </w:tcPr>
          <w:p w:rsidR="00B0668A" w:rsidRPr="00834D5A" w:rsidRDefault="00B0668A" w:rsidP="00027055">
            <w:pPr>
              <w:spacing w:before="240" w:line="276" w:lineRule="auto"/>
              <w:cnfStyle w:val="100000000000" w:firstRow="1" w:lastRow="0" w:firstColumn="0" w:lastColumn="0" w:oddVBand="0" w:evenVBand="0" w:oddHBand="0" w:evenHBand="0" w:firstRowFirstColumn="0" w:firstRowLastColumn="0" w:lastRowFirstColumn="0" w:lastRowLastColumn="0"/>
              <w:rPr>
                <w:rFonts w:eastAsia="Times New Roman" w:cs="Tahoma"/>
                <w:b w:val="0"/>
                <w:color w:val="000000"/>
                <w:sz w:val="24"/>
                <w:szCs w:val="24"/>
              </w:rPr>
            </w:pPr>
            <w:r>
              <w:rPr>
                <w:rFonts w:eastAsia="Times New Roman" w:cs="Tahoma"/>
                <w:b w:val="0"/>
                <w:color w:val="000000"/>
                <w:sz w:val="24"/>
                <w:szCs w:val="24"/>
              </w:rPr>
              <w:t xml:space="preserve">   </w:t>
            </w:r>
            <w:r w:rsidRPr="00834D5A">
              <w:rPr>
                <w:rFonts w:eastAsia="Times New Roman" w:cs="Tahoma"/>
                <w:b w:val="0"/>
                <w:color w:val="000000"/>
                <w:sz w:val="24"/>
                <w:szCs w:val="24"/>
              </w:rPr>
              <w:t>Oct</w:t>
            </w:r>
          </w:p>
        </w:tc>
      </w:tr>
      <w:tr w:rsidR="00B0668A" w:rsidRPr="00834D5A" w:rsidTr="0002705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685" w:type="dxa"/>
            <w:hideMark/>
          </w:tcPr>
          <w:p w:rsidR="00B0668A" w:rsidRPr="00834D5A" w:rsidRDefault="00B0668A" w:rsidP="00027055">
            <w:pPr>
              <w:spacing w:before="240"/>
              <w:rPr>
                <w:rFonts w:eastAsia="Times New Roman" w:cs="Tahoma"/>
                <w:b w:val="0"/>
                <w:sz w:val="24"/>
                <w:szCs w:val="24"/>
              </w:rPr>
            </w:pPr>
            <w:hyperlink r:id="rId16" w:anchor="eag_tx_waco_msa.f.3" w:tooltip="Click to jump to footnotes at bottom of the table" w:history="1">
              <w:r w:rsidRPr="00834D5A">
                <w:rPr>
                  <w:rFonts w:eastAsia="Times New Roman" w:cs="Tahoma"/>
                  <w:b w:val="0"/>
                  <w:sz w:val="24"/>
                  <w:szCs w:val="24"/>
                </w:rPr>
                <w:t>Total Nonfarm</w:t>
              </w:r>
            </w:hyperlink>
          </w:p>
        </w:tc>
        <w:tc>
          <w:tcPr>
            <w:tcW w:w="914" w:type="dxa"/>
            <w:noWrap/>
          </w:tcPr>
          <w:p w:rsidR="00B0668A" w:rsidRPr="00834D5A" w:rsidRDefault="00B0668A" w:rsidP="00027055">
            <w:pPr>
              <w:spacing w:before="240"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24"/>
                <w:szCs w:val="24"/>
              </w:rPr>
            </w:pPr>
            <w:r w:rsidRPr="00834D5A">
              <w:rPr>
                <w:rFonts w:eastAsia="Times New Roman" w:cs="Tahoma"/>
                <w:color w:val="000000"/>
                <w:sz w:val="24"/>
                <w:szCs w:val="24"/>
              </w:rPr>
              <w:t>119.5</w:t>
            </w:r>
          </w:p>
        </w:tc>
        <w:tc>
          <w:tcPr>
            <w:tcW w:w="900" w:type="dxa"/>
            <w:hideMark/>
          </w:tcPr>
          <w:p w:rsidR="00B0668A" w:rsidRPr="00834D5A" w:rsidRDefault="00B0668A" w:rsidP="00027055">
            <w:pPr>
              <w:spacing w:before="240"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ahoma"/>
                <w:sz w:val="24"/>
                <w:szCs w:val="24"/>
              </w:rPr>
            </w:pPr>
            <w:hyperlink r:id="rId17" w:anchor="eag_tx_waco_msa.f.p" w:tooltip="Preliminary" w:history="1">
              <w:r w:rsidRPr="00834D5A">
                <w:rPr>
                  <w:rFonts w:eastAsia="Times New Roman" w:cs="Tahoma"/>
                  <w:caps/>
                  <w:sz w:val="24"/>
                  <w:szCs w:val="24"/>
                </w:rPr>
                <w:t>118.9</w:t>
              </w:r>
            </w:hyperlink>
          </w:p>
        </w:tc>
        <w:tc>
          <w:tcPr>
            <w:tcW w:w="941" w:type="dxa"/>
          </w:tcPr>
          <w:p w:rsidR="00B0668A" w:rsidRPr="00834D5A" w:rsidRDefault="00B0668A" w:rsidP="00027055">
            <w:pPr>
              <w:spacing w:before="240"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24"/>
                <w:szCs w:val="24"/>
              </w:rPr>
            </w:pPr>
            <w:r w:rsidRPr="00834D5A">
              <w:rPr>
                <w:rFonts w:eastAsia="Times New Roman" w:cs="Tahoma"/>
                <w:color w:val="000000"/>
                <w:sz w:val="24"/>
                <w:szCs w:val="24"/>
              </w:rPr>
              <w:t>118.8</w:t>
            </w:r>
          </w:p>
        </w:tc>
        <w:tc>
          <w:tcPr>
            <w:tcW w:w="949" w:type="dxa"/>
          </w:tcPr>
          <w:p w:rsidR="00B0668A" w:rsidRPr="00834D5A" w:rsidRDefault="00B0668A" w:rsidP="00027055">
            <w:pPr>
              <w:spacing w:before="240"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ahoma"/>
                <w:sz w:val="24"/>
                <w:szCs w:val="24"/>
              </w:rPr>
            </w:pPr>
            <w:r>
              <w:rPr>
                <w:rFonts w:eastAsia="Times New Roman" w:cs="Tahoma"/>
                <w:sz w:val="24"/>
                <w:szCs w:val="24"/>
              </w:rPr>
              <w:t>119.0</w:t>
            </w:r>
          </w:p>
        </w:tc>
        <w:tc>
          <w:tcPr>
            <w:tcW w:w="941" w:type="dxa"/>
          </w:tcPr>
          <w:p w:rsidR="00B0668A" w:rsidRPr="00834D5A" w:rsidRDefault="00B0668A" w:rsidP="00027055">
            <w:pPr>
              <w:spacing w:before="240"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24"/>
                <w:szCs w:val="24"/>
              </w:rPr>
            </w:pPr>
            <w:r>
              <w:rPr>
                <w:rFonts w:eastAsia="Times New Roman" w:cs="Tahoma"/>
                <w:color w:val="000000"/>
                <w:sz w:val="24"/>
                <w:szCs w:val="24"/>
              </w:rPr>
              <w:t>118.8</w:t>
            </w:r>
          </w:p>
        </w:tc>
        <w:tc>
          <w:tcPr>
            <w:tcW w:w="958" w:type="dxa"/>
          </w:tcPr>
          <w:p w:rsidR="00B0668A" w:rsidRPr="00834D5A" w:rsidRDefault="00B0668A" w:rsidP="00027055">
            <w:pPr>
              <w:spacing w:before="240"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ahoma"/>
                <w:sz w:val="24"/>
                <w:szCs w:val="24"/>
              </w:rPr>
            </w:pPr>
            <w:r>
              <w:rPr>
                <w:rFonts w:eastAsia="Times New Roman" w:cs="Tahoma"/>
                <w:sz w:val="24"/>
                <w:szCs w:val="24"/>
              </w:rPr>
              <w:t>118.9</w:t>
            </w:r>
          </w:p>
        </w:tc>
      </w:tr>
      <w:tr w:rsidR="00B0668A" w:rsidRPr="00834D5A" w:rsidTr="00027055">
        <w:trPr>
          <w:trHeight w:val="323"/>
        </w:trPr>
        <w:tc>
          <w:tcPr>
            <w:cnfStyle w:val="001000000000" w:firstRow="0" w:lastRow="0" w:firstColumn="1" w:lastColumn="0" w:oddVBand="0" w:evenVBand="0" w:oddHBand="0" w:evenHBand="0" w:firstRowFirstColumn="0" w:firstRowLastColumn="0" w:lastRowFirstColumn="0" w:lastRowLastColumn="0"/>
            <w:tcW w:w="3685" w:type="dxa"/>
            <w:hideMark/>
          </w:tcPr>
          <w:p w:rsidR="00B0668A" w:rsidRPr="00834D5A" w:rsidRDefault="00B0668A" w:rsidP="00027055">
            <w:pPr>
              <w:spacing w:line="293" w:lineRule="atLeast"/>
              <w:ind w:firstLineChars="100" w:firstLine="240"/>
              <w:rPr>
                <w:rFonts w:eastAsia="Times New Roman" w:cs="Tahoma"/>
                <w:b w:val="0"/>
                <w:sz w:val="24"/>
                <w:szCs w:val="24"/>
              </w:rPr>
            </w:pPr>
            <w:r w:rsidRPr="00834D5A">
              <w:rPr>
                <w:rFonts w:eastAsia="Times New Roman" w:cs="Tahoma"/>
                <w:b w:val="0"/>
                <w:sz w:val="24"/>
                <w:szCs w:val="24"/>
              </w:rPr>
              <w:t>12-month % change</w:t>
            </w:r>
          </w:p>
        </w:tc>
        <w:tc>
          <w:tcPr>
            <w:tcW w:w="914" w:type="dxa"/>
            <w:noWrap/>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24"/>
                <w:szCs w:val="24"/>
              </w:rPr>
            </w:pPr>
            <w:r w:rsidRPr="00834D5A">
              <w:rPr>
                <w:rFonts w:eastAsia="Times New Roman" w:cs="Tahoma"/>
                <w:color w:val="000000"/>
                <w:sz w:val="24"/>
                <w:szCs w:val="24"/>
              </w:rPr>
              <w:t>0.9</w:t>
            </w:r>
          </w:p>
        </w:tc>
        <w:tc>
          <w:tcPr>
            <w:tcW w:w="900" w:type="dxa"/>
            <w:hideMark/>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sz w:val="24"/>
                <w:szCs w:val="24"/>
              </w:rPr>
            </w:pPr>
            <w:hyperlink r:id="rId18" w:anchor="eag_tx_waco_msa.f.p" w:tooltip="Preliminary" w:history="1">
              <w:r w:rsidRPr="00834D5A">
                <w:rPr>
                  <w:rFonts w:eastAsia="Times New Roman" w:cs="Tahoma"/>
                  <w:caps/>
                  <w:sz w:val="24"/>
                  <w:szCs w:val="24"/>
                </w:rPr>
                <w:t>0.1</w:t>
              </w:r>
            </w:hyperlink>
          </w:p>
        </w:tc>
        <w:tc>
          <w:tcPr>
            <w:tcW w:w="941" w:type="dxa"/>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24"/>
                <w:szCs w:val="24"/>
              </w:rPr>
            </w:pPr>
            <w:r w:rsidRPr="00834D5A">
              <w:rPr>
                <w:rFonts w:eastAsia="Times New Roman" w:cs="Tahoma"/>
                <w:color w:val="000000"/>
                <w:sz w:val="24"/>
                <w:szCs w:val="24"/>
              </w:rPr>
              <w:t>0.3</w:t>
            </w:r>
          </w:p>
        </w:tc>
        <w:tc>
          <w:tcPr>
            <w:tcW w:w="949" w:type="dxa"/>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sz w:val="24"/>
                <w:szCs w:val="24"/>
              </w:rPr>
            </w:pPr>
            <w:r>
              <w:rPr>
                <w:rFonts w:eastAsia="Times New Roman" w:cs="Tahoma"/>
                <w:sz w:val="24"/>
                <w:szCs w:val="24"/>
              </w:rPr>
              <w:t>-0.3</w:t>
            </w:r>
          </w:p>
        </w:tc>
        <w:tc>
          <w:tcPr>
            <w:tcW w:w="941" w:type="dxa"/>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24"/>
                <w:szCs w:val="24"/>
              </w:rPr>
            </w:pPr>
            <w:r>
              <w:rPr>
                <w:rFonts w:eastAsia="Times New Roman" w:cs="Tahoma"/>
                <w:color w:val="000000"/>
                <w:sz w:val="24"/>
                <w:szCs w:val="24"/>
              </w:rPr>
              <w:t>-0.6</w:t>
            </w:r>
          </w:p>
        </w:tc>
        <w:tc>
          <w:tcPr>
            <w:tcW w:w="958" w:type="dxa"/>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sz w:val="24"/>
                <w:szCs w:val="24"/>
              </w:rPr>
            </w:pPr>
            <w:r>
              <w:rPr>
                <w:rFonts w:eastAsia="Times New Roman" w:cs="Tahoma"/>
                <w:sz w:val="24"/>
                <w:szCs w:val="24"/>
              </w:rPr>
              <w:t>-0.4</w:t>
            </w:r>
          </w:p>
        </w:tc>
      </w:tr>
      <w:tr w:rsidR="00B0668A" w:rsidRPr="00834D5A" w:rsidTr="0002705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3685" w:type="dxa"/>
            <w:hideMark/>
          </w:tcPr>
          <w:p w:rsidR="00B0668A" w:rsidRPr="00834D5A" w:rsidRDefault="00B0668A" w:rsidP="00027055">
            <w:pPr>
              <w:spacing w:line="293" w:lineRule="atLeast"/>
              <w:rPr>
                <w:rFonts w:eastAsia="Times New Roman" w:cs="Tahoma"/>
                <w:b w:val="0"/>
                <w:sz w:val="24"/>
                <w:szCs w:val="24"/>
              </w:rPr>
            </w:pPr>
            <w:hyperlink r:id="rId19" w:anchor="eag_tx_waco_msa.f.3" w:tooltip="Click to jump to footnotes at bottom of the table" w:history="1">
              <w:r w:rsidRPr="00834D5A">
                <w:rPr>
                  <w:rFonts w:eastAsia="Times New Roman" w:cs="Tahoma"/>
                  <w:b w:val="0"/>
                  <w:sz w:val="24"/>
                  <w:szCs w:val="24"/>
                </w:rPr>
                <w:t>Construction</w:t>
              </w:r>
            </w:hyperlink>
          </w:p>
        </w:tc>
        <w:tc>
          <w:tcPr>
            <w:tcW w:w="914" w:type="dxa"/>
            <w:noWrap/>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24"/>
                <w:szCs w:val="24"/>
              </w:rPr>
            </w:pPr>
            <w:r w:rsidRPr="00834D5A">
              <w:rPr>
                <w:rFonts w:eastAsia="Times New Roman" w:cs="Tahoma"/>
                <w:color w:val="000000"/>
                <w:sz w:val="24"/>
                <w:szCs w:val="24"/>
              </w:rPr>
              <w:t>7.4</w:t>
            </w:r>
          </w:p>
        </w:tc>
        <w:tc>
          <w:tcPr>
            <w:tcW w:w="900" w:type="dxa"/>
            <w:hideMark/>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sz w:val="24"/>
                <w:szCs w:val="24"/>
              </w:rPr>
            </w:pPr>
            <w:hyperlink r:id="rId20" w:anchor="eag_tx_waco_msa.f.p" w:tooltip="Preliminary" w:history="1">
              <w:r w:rsidRPr="00834D5A">
                <w:rPr>
                  <w:rFonts w:eastAsia="Times New Roman" w:cs="Tahoma"/>
                  <w:caps/>
                  <w:sz w:val="24"/>
                  <w:szCs w:val="24"/>
                </w:rPr>
                <w:t>7.5</w:t>
              </w:r>
            </w:hyperlink>
          </w:p>
        </w:tc>
        <w:tc>
          <w:tcPr>
            <w:tcW w:w="941" w:type="dxa"/>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24"/>
                <w:szCs w:val="24"/>
              </w:rPr>
            </w:pPr>
            <w:r w:rsidRPr="00834D5A">
              <w:rPr>
                <w:rFonts w:eastAsia="Times New Roman" w:cs="Tahoma"/>
                <w:color w:val="000000"/>
                <w:sz w:val="24"/>
                <w:szCs w:val="24"/>
              </w:rPr>
              <w:t>7.5</w:t>
            </w:r>
          </w:p>
        </w:tc>
        <w:tc>
          <w:tcPr>
            <w:tcW w:w="949" w:type="dxa"/>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sz w:val="24"/>
                <w:szCs w:val="24"/>
              </w:rPr>
            </w:pPr>
            <w:r w:rsidRPr="00834D5A">
              <w:rPr>
                <w:rFonts w:eastAsia="Times New Roman" w:cs="Tahoma"/>
                <w:sz w:val="24"/>
                <w:szCs w:val="24"/>
              </w:rPr>
              <w:t>7.4</w:t>
            </w:r>
          </w:p>
        </w:tc>
        <w:tc>
          <w:tcPr>
            <w:tcW w:w="941" w:type="dxa"/>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24"/>
                <w:szCs w:val="24"/>
              </w:rPr>
            </w:pPr>
            <w:r>
              <w:rPr>
                <w:rFonts w:eastAsia="Times New Roman" w:cs="Tahoma"/>
                <w:color w:val="000000"/>
                <w:sz w:val="24"/>
                <w:szCs w:val="24"/>
              </w:rPr>
              <w:t>7.4</w:t>
            </w:r>
          </w:p>
        </w:tc>
        <w:tc>
          <w:tcPr>
            <w:tcW w:w="958" w:type="dxa"/>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sz w:val="24"/>
                <w:szCs w:val="24"/>
              </w:rPr>
            </w:pPr>
            <w:r>
              <w:rPr>
                <w:rFonts w:eastAsia="Times New Roman" w:cs="Tahoma"/>
                <w:sz w:val="24"/>
                <w:szCs w:val="24"/>
              </w:rPr>
              <w:t>7.3</w:t>
            </w:r>
          </w:p>
        </w:tc>
      </w:tr>
      <w:tr w:rsidR="00B0668A" w:rsidRPr="00834D5A" w:rsidTr="00027055">
        <w:trPr>
          <w:trHeight w:val="405"/>
        </w:trPr>
        <w:tc>
          <w:tcPr>
            <w:cnfStyle w:val="001000000000" w:firstRow="0" w:lastRow="0" w:firstColumn="1" w:lastColumn="0" w:oddVBand="0" w:evenVBand="0" w:oddHBand="0" w:evenHBand="0" w:firstRowFirstColumn="0" w:firstRowLastColumn="0" w:lastRowFirstColumn="0" w:lastRowLastColumn="0"/>
            <w:tcW w:w="3685" w:type="dxa"/>
            <w:hideMark/>
          </w:tcPr>
          <w:p w:rsidR="00B0668A" w:rsidRPr="00834D5A" w:rsidRDefault="00B0668A" w:rsidP="00027055">
            <w:pPr>
              <w:spacing w:line="293" w:lineRule="atLeast"/>
              <w:ind w:firstLineChars="100" w:firstLine="240"/>
              <w:rPr>
                <w:rFonts w:eastAsia="Times New Roman" w:cs="Tahoma"/>
                <w:b w:val="0"/>
                <w:sz w:val="24"/>
                <w:szCs w:val="24"/>
              </w:rPr>
            </w:pPr>
            <w:r w:rsidRPr="00834D5A">
              <w:rPr>
                <w:rFonts w:eastAsia="Times New Roman" w:cs="Tahoma"/>
                <w:b w:val="0"/>
                <w:sz w:val="24"/>
                <w:szCs w:val="24"/>
              </w:rPr>
              <w:t>12-month % change</w:t>
            </w:r>
          </w:p>
        </w:tc>
        <w:tc>
          <w:tcPr>
            <w:tcW w:w="914" w:type="dxa"/>
            <w:noWrap/>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24"/>
                <w:szCs w:val="24"/>
              </w:rPr>
            </w:pPr>
            <w:r w:rsidRPr="00834D5A">
              <w:rPr>
                <w:rFonts w:eastAsia="Times New Roman" w:cs="Tahoma"/>
                <w:color w:val="000000"/>
                <w:sz w:val="24"/>
                <w:szCs w:val="24"/>
              </w:rPr>
              <w:t>1.4</w:t>
            </w:r>
          </w:p>
        </w:tc>
        <w:tc>
          <w:tcPr>
            <w:tcW w:w="900" w:type="dxa"/>
            <w:hideMark/>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sz w:val="24"/>
                <w:szCs w:val="24"/>
              </w:rPr>
            </w:pPr>
            <w:hyperlink r:id="rId21" w:anchor="eag_tx_waco_msa.f.p" w:tooltip="Preliminary" w:history="1">
              <w:r w:rsidRPr="00834D5A">
                <w:rPr>
                  <w:rFonts w:eastAsia="Times New Roman" w:cs="Tahoma"/>
                  <w:caps/>
                  <w:sz w:val="24"/>
                  <w:szCs w:val="24"/>
                </w:rPr>
                <w:t>1.4</w:t>
              </w:r>
            </w:hyperlink>
          </w:p>
        </w:tc>
        <w:tc>
          <w:tcPr>
            <w:tcW w:w="941" w:type="dxa"/>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24"/>
                <w:szCs w:val="24"/>
              </w:rPr>
            </w:pPr>
            <w:r w:rsidRPr="00834D5A">
              <w:rPr>
                <w:rFonts w:eastAsia="Times New Roman" w:cs="Tahoma"/>
                <w:color w:val="000000"/>
                <w:sz w:val="24"/>
                <w:szCs w:val="24"/>
              </w:rPr>
              <w:t>1.4</w:t>
            </w:r>
          </w:p>
        </w:tc>
        <w:tc>
          <w:tcPr>
            <w:tcW w:w="949" w:type="dxa"/>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sz w:val="24"/>
                <w:szCs w:val="24"/>
              </w:rPr>
            </w:pPr>
            <w:r w:rsidRPr="00834D5A">
              <w:rPr>
                <w:rFonts w:eastAsia="Times New Roman" w:cs="Tahoma"/>
                <w:sz w:val="24"/>
                <w:szCs w:val="24"/>
              </w:rPr>
              <w:t>1.4</w:t>
            </w:r>
          </w:p>
        </w:tc>
        <w:tc>
          <w:tcPr>
            <w:tcW w:w="941" w:type="dxa"/>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24"/>
                <w:szCs w:val="24"/>
              </w:rPr>
            </w:pPr>
            <w:r>
              <w:rPr>
                <w:rFonts w:eastAsia="Times New Roman" w:cs="Tahoma"/>
                <w:color w:val="000000"/>
                <w:sz w:val="24"/>
                <w:szCs w:val="24"/>
              </w:rPr>
              <w:t>1.4</w:t>
            </w:r>
          </w:p>
        </w:tc>
        <w:tc>
          <w:tcPr>
            <w:tcW w:w="958" w:type="dxa"/>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sz w:val="24"/>
                <w:szCs w:val="24"/>
              </w:rPr>
            </w:pPr>
            <w:r>
              <w:rPr>
                <w:rFonts w:eastAsia="Times New Roman" w:cs="Tahoma"/>
                <w:sz w:val="24"/>
                <w:szCs w:val="24"/>
              </w:rPr>
              <w:t>0.0</w:t>
            </w:r>
          </w:p>
        </w:tc>
      </w:tr>
      <w:tr w:rsidR="00B0668A" w:rsidRPr="00834D5A" w:rsidTr="0002705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3685" w:type="dxa"/>
            <w:hideMark/>
          </w:tcPr>
          <w:p w:rsidR="00B0668A" w:rsidRPr="00834D5A" w:rsidRDefault="00B0668A" w:rsidP="00027055">
            <w:pPr>
              <w:spacing w:line="293" w:lineRule="atLeast"/>
              <w:rPr>
                <w:rFonts w:eastAsia="Times New Roman" w:cs="Tahoma"/>
                <w:b w:val="0"/>
                <w:sz w:val="24"/>
                <w:szCs w:val="24"/>
              </w:rPr>
            </w:pPr>
            <w:hyperlink r:id="rId22" w:anchor="eag_tx_waco_msa.f.3" w:tooltip="Click to jump to footnotes at bottom of the table" w:history="1">
              <w:r w:rsidRPr="00834D5A">
                <w:rPr>
                  <w:rFonts w:eastAsia="Times New Roman" w:cs="Tahoma"/>
                  <w:b w:val="0"/>
                  <w:sz w:val="24"/>
                  <w:szCs w:val="24"/>
                </w:rPr>
                <w:t>Manufacturing</w:t>
              </w:r>
            </w:hyperlink>
          </w:p>
        </w:tc>
        <w:tc>
          <w:tcPr>
            <w:tcW w:w="914" w:type="dxa"/>
            <w:noWrap/>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24"/>
                <w:szCs w:val="24"/>
              </w:rPr>
            </w:pPr>
            <w:r w:rsidRPr="00834D5A">
              <w:rPr>
                <w:rFonts w:eastAsia="Times New Roman" w:cs="Tahoma"/>
                <w:color w:val="000000"/>
                <w:sz w:val="24"/>
                <w:szCs w:val="24"/>
              </w:rPr>
              <w:t>16.4</w:t>
            </w:r>
          </w:p>
        </w:tc>
        <w:tc>
          <w:tcPr>
            <w:tcW w:w="900" w:type="dxa"/>
            <w:hideMark/>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sz w:val="24"/>
                <w:szCs w:val="24"/>
              </w:rPr>
            </w:pPr>
            <w:hyperlink r:id="rId23" w:anchor="eag_tx_waco_msa.f.p" w:tooltip="Preliminary" w:history="1">
              <w:r w:rsidRPr="00834D5A">
                <w:rPr>
                  <w:rFonts w:eastAsia="Times New Roman" w:cs="Tahoma"/>
                  <w:caps/>
                  <w:sz w:val="24"/>
                  <w:szCs w:val="24"/>
                </w:rPr>
                <w:t>16.5</w:t>
              </w:r>
            </w:hyperlink>
          </w:p>
        </w:tc>
        <w:tc>
          <w:tcPr>
            <w:tcW w:w="941" w:type="dxa"/>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24"/>
                <w:szCs w:val="24"/>
              </w:rPr>
            </w:pPr>
            <w:r w:rsidRPr="00834D5A">
              <w:rPr>
                <w:rFonts w:eastAsia="Times New Roman" w:cs="Tahoma"/>
                <w:color w:val="000000"/>
                <w:sz w:val="24"/>
                <w:szCs w:val="24"/>
              </w:rPr>
              <w:t>16.6</w:t>
            </w:r>
          </w:p>
        </w:tc>
        <w:tc>
          <w:tcPr>
            <w:tcW w:w="949" w:type="dxa"/>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sz w:val="24"/>
                <w:szCs w:val="24"/>
              </w:rPr>
            </w:pPr>
            <w:r w:rsidRPr="00834D5A">
              <w:rPr>
                <w:rFonts w:eastAsia="Times New Roman" w:cs="Tahoma"/>
                <w:sz w:val="24"/>
                <w:szCs w:val="24"/>
              </w:rPr>
              <w:t>16.5</w:t>
            </w:r>
          </w:p>
        </w:tc>
        <w:tc>
          <w:tcPr>
            <w:tcW w:w="941" w:type="dxa"/>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24"/>
                <w:szCs w:val="24"/>
              </w:rPr>
            </w:pPr>
            <w:r>
              <w:rPr>
                <w:rFonts w:eastAsia="Times New Roman" w:cs="Tahoma"/>
                <w:color w:val="000000"/>
                <w:sz w:val="24"/>
                <w:szCs w:val="24"/>
              </w:rPr>
              <w:t>16.5</w:t>
            </w:r>
          </w:p>
        </w:tc>
        <w:tc>
          <w:tcPr>
            <w:tcW w:w="958" w:type="dxa"/>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sz w:val="24"/>
                <w:szCs w:val="24"/>
              </w:rPr>
            </w:pPr>
            <w:r>
              <w:rPr>
                <w:rFonts w:eastAsia="Times New Roman" w:cs="Tahoma"/>
                <w:sz w:val="24"/>
                <w:szCs w:val="24"/>
              </w:rPr>
              <w:t>16.4</w:t>
            </w:r>
          </w:p>
        </w:tc>
      </w:tr>
      <w:tr w:rsidR="00B0668A" w:rsidRPr="00834D5A" w:rsidTr="00027055">
        <w:trPr>
          <w:trHeight w:val="405"/>
        </w:trPr>
        <w:tc>
          <w:tcPr>
            <w:cnfStyle w:val="001000000000" w:firstRow="0" w:lastRow="0" w:firstColumn="1" w:lastColumn="0" w:oddVBand="0" w:evenVBand="0" w:oddHBand="0" w:evenHBand="0" w:firstRowFirstColumn="0" w:firstRowLastColumn="0" w:lastRowFirstColumn="0" w:lastRowLastColumn="0"/>
            <w:tcW w:w="3685" w:type="dxa"/>
            <w:hideMark/>
          </w:tcPr>
          <w:p w:rsidR="00B0668A" w:rsidRPr="00834D5A" w:rsidRDefault="00B0668A" w:rsidP="00027055">
            <w:pPr>
              <w:spacing w:line="293" w:lineRule="atLeast"/>
              <w:ind w:firstLineChars="100" w:firstLine="240"/>
              <w:rPr>
                <w:rFonts w:eastAsia="Times New Roman" w:cs="Tahoma"/>
                <w:b w:val="0"/>
                <w:sz w:val="24"/>
                <w:szCs w:val="24"/>
              </w:rPr>
            </w:pPr>
            <w:r w:rsidRPr="00834D5A">
              <w:rPr>
                <w:rFonts w:eastAsia="Times New Roman" w:cs="Tahoma"/>
                <w:b w:val="0"/>
                <w:sz w:val="24"/>
                <w:szCs w:val="24"/>
              </w:rPr>
              <w:t>12-month % change</w:t>
            </w:r>
          </w:p>
        </w:tc>
        <w:tc>
          <w:tcPr>
            <w:tcW w:w="914" w:type="dxa"/>
            <w:noWrap/>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24"/>
                <w:szCs w:val="24"/>
              </w:rPr>
            </w:pPr>
            <w:r w:rsidRPr="00834D5A">
              <w:rPr>
                <w:rFonts w:eastAsia="Times New Roman" w:cs="Tahoma"/>
                <w:color w:val="000000"/>
                <w:sz w:val="24"/>
                <w:szCs w:val="24"/>
              </w:rPr>
              <w:t>0.6</w:t>
            </w:r>
          </w:p>
        </w:tc>
        <w:tc>
          <w:tcPr>
            <w:tcW w:w="900" w:type="dxa"/>
            <w:hideMark/>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sz w:val="24"/>
                <w:szCs w:val="24"/>
              </w:rPr>
            </w:pPr>
            <w:hyperlink r:id="rId24" w:anchor="eag_tx_waco_msa.f.p" w:tooltip="Preliminary" w:history="1">
              <w:r w:rsidRPr="00834D5A">
                <w:rPr>
                  <w:rFonts w:eastAsia="Times New Roman" w:cs="Tahoma"/>
                  <w:caps/>
                  <w:sz w:val="24"/>
                  <w:szCs w:val="24"/>
                </w:rPr>
                <w:t>0.6</w:t>
              </w:r>
            </w:hyperlink>
          </w:p>
        </w:tc>
        <w:tc>
          <w:tcPr>
            <w:tcW w:w="941" w:type="dxa"/>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24"/>
                <w:szCs w:val="24"/>
              </w:rPr>
            </w:pPr>
            <w:r w:rsidRPr="00834D5A">
              <w:rPr>
                <w:rFonts w:eastAsia="Times New Roman" w:cs="Tahoma"/>
                <w:color w:val="000000"/>
                <w:sz w:val="24"/>
                <w:szCs w:val="24"/>
              </w:rPr>
              <w:t>1.2</w:t>
            </w:r>
          </w:p>
        </w:tc>
        <w:tc>
          <w:tcPr>
            <w:tcW w:w="949" w:type="dxa"/>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sz w:val="24"/>
                <w:szCs w:val="24"/>
              </w:rPr>
            </w:pPr>
            <w:r w:rsidRPr="00834D5A">
              <w:rPr>
                <w:rFonts w:eastAsia="Times New Roman" w:cs="Tahoma"/>
                <w:sz w:val="24"/>
                <w:szCs w:val="24"/>
              </w:rPr>
              <w:t>0.0</w:t>
            </w:r>
          </w:p>
        </w:tc>
        <w:tc>
          <w:tcPr>
            <w:tcW w:w="941" w:type="dxa"/>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24"/>
                <w:szCs w:val="24"/>
              </w:rPr>
            </w:pPr>
            <w:r>
              <w:rPr>
                <w:rFonts w:eastAsia="Times New Roman" w:cs="Tahoma"/>
                <w:color w:val="000000"/>
                <w:sz w:val="24"/>
                <w:szCs w:val="24"/>
              </w:rPr>
              <w:t>0.6</w:t>
            </w:r>
          </w:p>
        </w:tc>
        <w:tc>
          <w:tcPr>
            <w:tcW w:w="958" w:type="dxa"/>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sz w:val="24"/>
                <w:szCs w:val="24"/>
              </w:rPr>
            </w:pPr>
            <w:r>
              <w:rPr>
                <w:rFonts w:eastAsia="Times New Roman" w:cs="Tahoma"/>
                <w:sz w:val="24"/>
                <w:szCs w:val="24"/>
              </w:rPr>
              <w:t>0.0</w:t>
            </w:r>
          </w:p>
        </w:tc>
      </w:tr>
      <w:tr w:rsidR="00B0668A" w:rsidRPr="00834D5A" w:rsidTr="00027055">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685" w:type="dxa"/>
            <w:hideMark/>
          </w:tcPr>
          <w:p w:rsidR="00B0668A" w:rsidRPr="00834D5A" w:rsidRDefault="00B0668A" w:rsidP="00027055">
            <w:pPr>
              <w:spacing w:line="293" w:lineRule="atLeast"/>
              <w:rPr>
                <w:rFonts w:eastAsia="Times New Roman" w:cs="Tahoma"/>
                <w:b w:val="0"/>
                <w:sz w:val="24"/>
                <w:szCs w:val="24"/>
              </w:rPr>
            </w:pPr>
            <w:hyperlink r:id="rId25" w:anchor="eag_tx_waco_msa.f.3" w:tooltip="Click to jump to footnotes at bottom of the table" w:history="1">
              <w:r w:rsidRPr="00834D5A">
                <w:rPr>
                  <w:rFonts w:eastAsia="Times New Roman" w:cs="Tahoma"/>
                  <w:b w:val="0"/>
                  <w:sz w:val="24"/>
                  <w:szCs w:val="24"/>
                </w:rPr>
                <w:t>Trade, Transp., and Util.</w:t>
              </w:r>
            </w:hyperlink>
          </w:p>
        </w:tc>
        <w:tc>
          <w:tcPr>
            <w:tcW w:w="914" w:type="dxa"/>
            <w:noWrap/>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24"/>
                <w:szCs w:val="24"/>
              </w:rPr>
            </w:pPr>
            <w:r w:rsidRPr="00834D5A">
              <w:rPr>
                <w:rFonts w:eastAsia="Times New Roman" w:cs="Tahoma"/>
                <w:color w:val="000000"/>
                <w:sz w:val="24"/>
                <w:szCs w:val="24"/>
              </w:rPr>
              <w:t>20.2</w:t>
            </w:r>
          </w:p>
        </w:tc>
        <w:tc>
          <w:tcPr>
            <w:tcW w:w="900" w:type="dxa"/>
            <w:hideMark/>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sz w:val="24"/>
                <w:szCs w:val="24"/>
              </w:rPr>
            </w:pPr>
            <w:hyperlink r:id="rId26" w:anchor="eag_tx_waco_msa.f.p" w:tooltip="Preliminary" w:history="1">
              <w:r w:rsidRPr="00834D5A">
                <w:rPr>
                  <w:rFonts w:eastAsia="Times New Roman" w:cs="Tahoma"/>
                  <w:caps/>
                  <w:sz w:val="24"/>
                  <w:szCs w:val="24"/>
                </w:rPr>
                <w:t>20.2</w:t>
              </w:r>
            </w:hyperlink>
          </w:p>
        </w:tc>
        <w:tc>
          <w:tcPr>
            <w:tcW w:w="941" w:type="dxa"/>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24"/>
                <w:szCs w:val="24"/>
              </w:rPr>
            </w:pPr>
            <w:r w:rsidRPr="00834D5A">
              <w:rPr>
                <w:rFonts w:eastAsia="Times New Roman" w:cs="Tahoma"/>
                <w:color w:val="000000"/>
                <w:sz w:val="24"/>
                <w:szCs w:val="24"/>
              </w:rPr>
              <w:t>20.2</w:t>
            </w:r>
          </w:p>
        </w:tc>
        <w:tc>
          <w:tcPr>
            <w:tcW w:w="949" w:type="dxa"/>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sz w:val="24"/>
                <w:szCs w:val="24"/>
              </w:rPr>
            </w:pPr>
            <w:r>
              <w:rPr>
                <w:rFonts w:eastAsia="Times New Roman" w:cs="Tahoma"/>
                <w:sz w:val="24"/>
                <w:szCs w:val="24"/>
              </w:rPr>
              <w:t>20.3</w:t>
            </w:r>
          </w:p>
        </w:tc>
        <w:tc>
          <w:tcPr>
            <w:tcW w:w="941" w:type="dxa"/>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24"/>
                <w:szCs w:val="24"/>
              </w:rPr>
            </w:pPr>
            <w:r>
              <w:rPr>
                <w:rFonts w:eastAsia="Times New Roman" w:cs="Tahoma"/>
                <w:color w:val="000000"/>
                <w:sz w:val="24"/>
                <w:szCs w:val="24"/>
              </w:rPr>
              <w:t>20.3</w:t>
            </w:r>
          </w:p>
        </w:tc>
        <w:tc>
          <w:tcPr>
            <w:tcW w:w="958" w:type="dxa"/>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sz w:val="24"/>
                <w:szCs w:val="24"/>
              </w:rPr>
            </w:pPr>
            <w:r>
              <w:rPr>
                <w:rFonts w:eastAsia="Times New Roman" w:cs="Tahoma"/>
                <w:sz w:val="24"/>
                <w:szCs w:val="24"/>
              </w:rPr>
              <w:t>20.4</w:t>
            </w:r>
          </w:p>
        </w:tc>
      </w:tr>
      <w:tr w:rsidR="00B0668A" w:rsidRPr="00834D5A" w:rsidTr="00027055">
        <w:trPr>
          <w:trHeight w:val="405"/>
        </w:trPr>
        <w:tc>
          <w:tcPr>
            <w:cnfStyle w:val="001000000000" w:firstRow="0" w:lastRow="0" w:firstColumn="1" w:lastColumn="0" w:oddVBand="0" w:evenVBand="0" w:oddHBand="0" w:evenHBand="0" w:firstRowFirstColumn="0" w:firstRowLastColumn="0" w:lastRowFirstColumn="0" w:lastRowLastColumn="0"/>
            <w:tcW w:w="3685" w:type="dxa"/>
            <w:hideMark/>
          </w:tcPr>
          <w:p w:rsidR="00B0668A" w:rsidRPr="00834D5A" w:rsidRDefault="00B0668A" w:rsidP="00027055">
            <w:pPr>
              <w:spacing w:line="293" w:lineRule="atLeast"/>
              <w:ind w:firstLineChars="100" w:firstLine="240"/>
              <w:rPr>
                <w:rFonts w:eastAsia="Times New Roman" w:cs="Tahoma"/>
                <w:b w:val="0"/>
                <w:sz w:val="24"/>
                <w:szCs w:val="24"/>
              </w:rPr>
            </w:pPr>
            <w:r w:rsidRPr="00834D5A">
              <w:rPr>
                <w:rFonts w:eastAsia="Times New Roman" w:cs="Tahoma"/>
                <w:b w:val="0"/>
                <w:sz w:val="24"/>
                <w:szCs w:val="24"/>
              </w:rPr>
              <w:t>12-month % change</w:t>
            </w:r>
          </w:p>
        </w:tc>
        <w:tc>
          <w:tcPr>
            <w:tcW w:w="914" w:type="dxa"/>
            <w:noWrap/>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24"/>
                <w:szCs w:val="24"/>
              </w:rPr>
            </w:pPr>
            <w:r w:rsidRPr="00834D5A">
              <w:rPr>
                <w:rFonts w:eastAsia="Times New Roman" w:cs="Tahoma"/>
                <w:color w:val="000000"/>
                <w:sz w:val="24"/>
                <w:szCs w:val="24"/>
              </w:rPr>
              <w:t>-1.5</w:t>
            </w:r>
          </w:p>
        </w:tc>
        <w:tc>
          <w:tcPr>
            <w:tcW w:w="900" w:type="dxa"/>
            <w:hideMark/>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sz w:val="24"/>
                <w:szCs w:val="24"/>
              </w:rPr>
            </w:pPr>
            <w:hyperlink r:id="rId27" w:anchor="eag_tx_waco_msa.f.p" w:tooltip="Preliminary" w:history="1">
              <w:r w:rsidRPr="00834D5A">
                <w:rPr>
                  <w:rFonts w:eastAsia="Times New Roman" w:cs="Tahoma"/>
                  <w:caps/>
                  <w:sz w:val="24"/>
                  <w:szCs w:val="24"/>
                </w:rPr>
                <w:t>-1.5</w:t>
              </w:r>
            </w:hyperlink>
          </w:p>
        </w:tc>
        <w:tc>
          <w:tcPr>
            <w:tcW w:w="941" w:type="dxa"/>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24"/>
                <w:szCs w:val="24"/>
              </w:rPr>
            </w:pPr>
            <w:r w:rsidRPr="00834D5A">
              <w:rPr>
                <w:rFonts w:eastAsia="Times New Roman" w:cs="Tahoma"/>
                <w:color w:val="000000"/>
                <w:sz w:val="24"/>
                <w:szCs w:val="24"/>
              </w:rPr>
              <w:t>-1.0</w:t>
            </w:r>
          </w:p>
        </w:tc>
        <w:tc>
          <w:tcPr>
            <w:tcW w:w="949" w:type="dxa"/>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sz w:val="24"/>
                <w:szCs w:val="24"/>
              </w:rPr>
            </w:pPr>
            <w:r>
              <w:rPr>
                <w:rFonts w:eastAsia="Times New Roman" w:cs="Tahoma"/>
                <w:sz w:val="24"/>
                <w:szCs w:val="24"/>
              </w:rPr>
              <w:t>-1.5</w:t>
            </w:r>
          </w:p>
        </w:tc>
        <w:tc>
          <w:tcPr>
            <w:tcW w:w="941" w:type="dxa"/>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24"/>
                <w:szCs w:val="24"/>
              </w:rPr>
            </w:pPr>
            <w:r>
              <w:rPr>
                <w:rFonts w:eastAsia="Times New Roman" w:cs="Tahoma"/>
                <w:color w:val="000000"/>
                <w:sz w:val="24"/>
                <w:szCs w:val="24"/>
              </w:rPr>
              <w:t>-1.9</w:t>
            </w:r>
          </w:p>
        </w:tc>
        <w:tc>
          <w:tcPr>
            <w:tcW w:w="958" w:type="dxa"/>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sz w:val="24"/>
                <w:szCs w:val="24"/>
              </w:rPr>
            </w:pPr>
            <w:r>
              <w:rPr>
                <w:rFonts w:eastAsia="Times New Roman" w:cs="Tahoma"/>
                <w:sz w:val="24"/>
                <w:szCs w:val="24"/>
              </w:rPr>
              <w:t>-1.0</w:t>
            </w:r>
          </w:p>
        </w:tc>
      </w:tr>
      <w:tr w:rsidR="00B0668A" w:rsidRPr="00834D5A" w:rsidTr="00027055">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685" w:type="dxa"/>
            <w:hideMark/>
          </w:tcPr>
          <w:p w:rsidR="00B0668A" w:rsidRPr="00834D5A" w:rsidRDefault="00B0668A" w:rsidP="00027055">
            <w:pPr>
              <w:spacing w:line="293" w:lineRule="atLeast"/>
              <w:rPr>
                <w:rFonts w:eastAsia="Times New Roman" w:cs="Tahoma"/>
                <w:b w:val="0"/>
                <w:sz w:val="24"/>
                <w:szCs w:val="24"/>
              </w:rPr>
            </w:pPr>
            <w:hyperlink r:id="rId28" w:anchor="eag_tx_waco_msa.f.3" w:tooltip="Click to jump to footnotes at bottom of the table" w:history="1">
              <w:r w:rsidRPr="00834D5A">
                <w:rPr>
                  <w:rFonts w:eastAsia="Times New Roman" w:cs="Tahoma"/>
                  <w:b w:val="0"/>
                  <w:sz w:val="24"/>
                  <w:szCs w:val="24"/>
                </w:rPr>
                <w:t>Information</w:t>
              </w:r>
            </w:hyperlink>
          </w:p>
        </w:tc>
        <w:tc>
          <w:tcPr>
            <w:tcW w:w="914" w:type="dxa"/>
            <w:noWrap/>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24"/>
                <w:szCs w:val="24"/>
              </w:rPr>
            </w:pPr>
            <w:r w:rsidRPr="00834D5A">
              <w:rPr>
                <w:rFonts w:eastAsia="Times New Roman" w:cs="Tahoma"/>
                <w:color w:val="000000"/>
                <w:sz w:val="24"/>
                <w:szCs w:val="24"/>
              </w:rPr>
              <w:t>0.9</w:t>
            </w:r>
          </w:p>
        </w:tc>
        <w:tc>
          <w:tcPr>
            <w:tcW w:w="900" w:type="dxa"/>
            <w:hideMark/>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sz w:val="24"/>
                <w:szCs w:val="24"/>
              </w:rPr>
            </w:pPr>
            <w:hyperlink r:id="rId29" w:anchor="eag_tx_waco_msa.f.p" w:tooltip="Preliminary" w:history="1">
              <w:r w:rsidRPr="00834D5A">
                <w:rPr>
                  <w:rFonts w:eastAsia="Times New Roman" w:cs="Tahoma"/>
                  <w:caps/>
                  <w:sz w:val="24"/>
                  <w:szCs w:val="24"/>
                </w:rPr>
                <w:t>0.9</w:t>
              </w:r>
            </w:hyperlink>
          </w:p>
        </w:tc>
        <w:tc>
          <w:tcPr>
            <w:tcW w:w="941" w:type="dxa"/>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24"/>
                <w:szCs w:val="24"/>
              </w:rPr>
            </w:pPr>
            <w:r w:rsidRPr="00834D5A">
              <w:rPr>
                <w:rFonts w:eastAsia="Times New Roman" w:cs="Tahoma"/>
                <w:color w:val="000000"/>
                <w:sz w:val="24"/>
                <w:szCs w:val="24"/>
              </w:rPr>
              <w:t>1.0</w:t>
            </w:r>
          </w:p>
        </w:tc>
        <w:tc>
          <w:tcPr>
            <w:tcW w:w="949" w:type="dxa"/>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sz w:val="24"/>
                <w:szCs w:val="24"/>
              </w:rPr>
            </w:pPr>
            <w:r w:rsidRPr="00834D5A">
              <w:rPr>
                <w:rFonts w:eastAsia="Times New Roman" w:cs="Tahoma"/>
                <w:sz w:val="24"/>
                <w:szCs w:val="24"/>
              </w:rPr>
              <w:t>1.0</w:t>
            </w:r>
          </w:p>
        </w:tc>
        <w:tc>
          <w:tcPr>
            <w:tcW w:w="941" w:type="dxa"/>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24"/>
                <w:szCs w:val="24"/>
              </w:rPr>
            </w:pPr>
            <w:r>
              <w:rPr>
                <w:rFonts w:eastAsia="Times New Roman" w:cs="Tahoma"/>
                <w:color w:val="000000"/>
                <w:sz w:val="24"/>
                <w:szCs w:val="24"/>
              </w:rPr>
              <w:t>1.0</w:t>
            </w:r>
          </w:p>
        </w:tc>
        <w:tc>
          <w:tcPr>
            <w:tcW w:w="958" w:type="dxa"/>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sz w:val="24"/>
                <w:szCs w:val="24"/>
              </w:rPr>
            </w:pPr>
            <w:r>
              <w:rPr>
                <w:rFonts w:eastAsia="Times New Roman" w:cs="Tahoma"/>
                <w:sz w:val="24"/>
                <w:szCs w:val="24"/>
              </w:rPr>
              <w:t>1.0</w:t>
            </w:r>
          </w:p>
        </w:tc>
      </w:tr>
      <w:tr w:rsidR="00B0668A" w:rsidRPr="00834D5A" w:rsidTr="00027055">
        <w:trPr>
          <w:trHeight w:val="405"/>
        </w:trPr>
        <w:tc>
          <w:tcPr>
            <w:cnfStyle w:val="001000000000" w:firstRow="0" w:lastRow="0" w:firstColumn="1" w:lastColumn="0" w:oddVBand="0" w:evenVBand="0" w:oddHBand="0" w:evenHBand="0" w:firstRowFirstColumn="0" w:firstRowLastColumn="0" w:lastRowFirstColumn="0" w:lastRowLastColumn="0"/>
            <w:tcW w:w="3685" w:type="dxa"/>
            <w:hideMark/>
          </w:tcPr>
          <w:p w:rsidR="00B0668A" w:rsidRPr="00834D5A" w:rsidRDefault="00B0668A" w:rsidP="00027055">
            <w:pPr>
              <w:spacing w:line="293" w:lineRule="atLeast"/>
              <w:ind w:firstLineChars="100" w:firstLine="240"/>
              <w:rPr>
                <w:rFonts w:eastAsia="Times New Roman" w:cs="Tahoma"/>
                <w:b w:val="0"/>
                <w:sz w:val="24"/>
                <w:szCs w:val="24"/>
              </w:rPr>
            </w:pPr>
            <w:r w:rsidRPr="00834D5A">
              <w:rPr>
                <w:rFonts w:eastAsia="Times New Roman" w:cs="Tahoma"/>
                <w:b w:val="0"/>
                <w:sz w:val="24"/>
                <w:szCs w:val="24"/>
              </w:rPr>
              <w:t>12-month % change</w:t>
            </w:r>
          </w:p>
        </w:tc>
        <w:tc>
          <w:tcPr>
            <w:tcW w:w="914" w:type="dxa"/>
            <w:noWrap/>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24"/>
                <w:szCs w:val="24"/>
              </w:rPr>
            </w:pPr>
            <w:r w:rsidRPr="00834D5A">
              <w:rPr>
                <w:rFonts w:eastAsia="Times New Roman" w:cs="Tahoma"/>
                <w:color w:val="000000"/>
                <w:sz w:val="24"/>
                <w:szCs w:val="24"/>
              </w:rPr>
              <w:t>-18.2</w:t>
            </w:r>
          </w:p>
        </w:tc>
        <w:tc>
          <w:tcPr>
            <w:tcW w:w="900" w:type="dxa"/>
            <w:hideMark/>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sz w:val="24"/>
                <w:szCs w:val="24"/>
              </w:rPr>
            </w:pPr>
            <w:hyperlink r:id="rId30" w:anchor="eag_tx_waco_msa.f.p" w:tooltip="Preliminary" w:history="1">
              <w:r w:rsidRPr="00834D5A">
                <w:rPr>
                  <w:rFonts w:eastAsia="Times New Roman" w:cs="Tahoma"/>
                  <w:caps/>
                  <w:sz w:val="24"/>
                  <w:szCs w:val="24"/>
                </w:rPr>
                <w:t>-18.2</w:t>
              </w:r>
            </w:hyperlink>
          </w:p>
        </w:tc>
        <w:tc>
          <w:tcPr>
            <w:tcW w:w="941" w:type="dxa"/>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24"/>
                <w:szCs w:val="24"/>
              </w:rPr>
            </w:pPr>
            <w:r w:rsidRPr="00834D5A">
              <w:rPr>
                <w:rFonts w:eastAsia="Times New Roman" w:cs="Tahoma"/>
                <w:color w:val="000000"/>
                <w:sz w:val="24"/>
                <w:szCs w:val="24"/>
              </w:rPr>
              <w:t>0.0</w:t>
            </w:r>
          </w:p>
        </w:tc>
        <w:tc>
          <w:tcPr>
            <w:tcW w:w="949" w:type="dxa"/>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sz w:val="24"/>
                <w:szCs w:val="24"/>
              </w:rPr>
            </w:pPr>
            <w:r w:rsidRPr="00834D5A">
              <w:rPr>
                <w:rFonts w:eastAsia="Times New Roman" w:cs="Tahoma"/>
                <w:sz w:val="24"/>
                <w:szCs w:val="24"/>
              </w:rPr>
              <w:t>0.0</w:t>
            </w:r>
          </w:p>
        </w:tc>
        <w:tc>
          <w:tcPr>
            <w:tcW w:w="941" w:type="dxa"/>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24"/>
                <w:szCs w:val="24"/>
              </w:rPr>
            </w:pPr>
            <w:r>
              <w:rPr>
                <w:rFonts w:eastAsia="Times New Roman" w:cs="Tahoma"/>
                <w:color w:val="000000"/>
                <w:sz w:val="24"/>
                <w:szCs w:val="24"/>
              </w:rPr>
              <w:t>0.0</w:t>
            </w:r>
          </w:p>
        </w:tc>
        <w:tc>
          <w:tcPr>
            <w:tcW w:w="958" w:type="dxa"/>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sz w:val="24"/>
                <w:szCs w:val="24"/>
              </w:rPr>
            </w:pPr>
            <w:r>
              <w:rPr>
                <w:rFonts w:eastAsia="Times New Roman" w:cs="Tahoma"/>
                <w:sz w:val="24"/>
                <w:szCs w:val="24"/>
              </w:rPr>
              <w:t>0.0</w:t>
            </w:r>
          </w:p>
        </w:tc>
      </w:tr>
      <w:tr w:rsidR="00B0668A" w:rsidRPr="00834D5A" w:rsidTr="0002705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3685" w:type="dxa"/>
            <w:hideMark/>
          </w:tcPr>
          <w:p w:rsidR="00B0668A" w:rsidRPr="00834D5A" w:rsidRDefault="00B0668A" w:rsidP="00027055">
            <w:pPr>
              <w:spacing w:line="293" w:lineRule="atLeast"/>
              <w:rPr>
                <w:rFonts w:eastAsia="Times New Roman" w:cs="Tahoma"/>
                <w:b w:val="0"/>
                <w:sz w:val="24"/>
                <w:szCs w:val="24"/>
              </w:rPr>
            </w:pPr>
            <w:hyperlink r:id="rId31" w:anchor="eag_tx_waco_msa.f.3" w:tooltip="Click to jump to footnotes at bottom of the table" w:history="1">
              <w:r w:rsidRPr="00834D5A">
                <w:rPr>
                  <w:rFonts w:eastAsia="Times New Roman" w:cs="Tahoma"/>
                  <w:b w:val="0"/>
                  <w:sz w:val="24"/>
                  <w:szCs w:val="24"/>
                </w:rPr>
                <w:t>Financial Activities</w:t>
              </w:r>
            </w:hyperlink>
          </w:p>
        </w:tc>
        <w:tc>
          <w:tcPr>
            <w:tcW w:w="914" w:type="dxa"/>
            <w:noWrap/>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24"/>
                <w:szCs w:val="24"/>
              </w:rPr>
            </w:pPr>
            <w:r w:rsidRPr="00834D5A">
              <w:rPr>
                <w:rFonts w:eastAsia="Times New Roman" w:cs="Tahoma"/>
                <w:color w:val="000000"/>
                <w:sz w:val="24"/>
                <w:szCs w:val="24"/>
              </w:rPr>
              <w:t>6.9</w:t>
            </w:r>
          </w:p>
        </w:tc>
        <w:tc>
          <w:tcPr>
            <w:tcW w:w="900" w:type="dxa"/>
            <w:hideMark/>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sz w:val="24"/>
                <w:szCs w:val="24"/>
              </w:rPr>
            </w:pPr>
            <w:hyperlink r:id="rId32" w:anchor="eag_tx_waco_msa.f.p" w:tooltip="Preliminary" w:history="1">
              <w:r w:rsidRPr="00834D5A">
                <w:rPr>
                  <w:rFonts w:eastAsia="Times New Roman" w:cs="Tahoma"/>
                  <w:caps/>
                  <w:sz w:val="24"/>
                  <w:szCs w:val="24"/>
                </w:rPr>
                <w:t>6.9</w:t>
              </w:r>
            </w:hyperlink>
          </w:p>
        </w:tc>
        <w:tc>
          <w:tcPr>
            <w:tcW w:w="941" w:type="dxa"/>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24"/>
                <w:szCs w:val="24"/>
              </w:rPr>
            </w:pPr>
            <w:r w:rsidRPr="00834D5A">
              <w:rPr>
                <w:rFonts w:eastAsia="Times New Roman" w:cs="Tahoma"/>
                <w:color w:val="000000"/>
                <w:sz w:val="24"/>
                <w:szCs w:val="24"/>
              </w:rPr>
              <w:t>6.9</w:t>
            </w:r>
          </w:p>
        </w:tc>
        <w:tc>
          <w:tcPr>
            <w:tcW w:w="949" w:type="dxa"/>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sz w:val="24"/>
                <w:szCs w:val="24"/>
              </w:rPr>
            </w:pPr>
            <w:r w:rsidRPr="00834D5A">
              <w:rPr>
                <w:rFonts w:eastAsia="Times New Roman" w:cs="Tahoma"/>
                <w:sz w:val="24"/>
                <w:szCs w:val="24"/>
              </w:rPr>
              <w:t>6.9</w:t>
            </w:r>
          </w:p>
        </w:tc>
        <w:tc>
          <w:tcPr>
            <w:tcW w:w="941" w:type="dxa"/>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24"/>
                <w:szCs w:val="24"/>
              </w:rPr>
            </w:pPr>
            <w:r>
              <w:rPr>
                <w:rFonts w:eastAsia="Times New Roman" w:cs="Tahoma"/>
                <w:color w:val="000000"/>
                <w:sz w:val="24"/>
                <w:szCs w:val="24"/>
              </w:rPr>
              <w:t>6.9</w:t>
            </w:r>
          </w:p>
        </w:tc>
        <w:tc>
          <w:tcPr>
            <w:tcW w:w="958" w:type="dxa"/>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sz w:val="24"/>
                <w:szCs w:val="24"/>
              </w:rPr>
            </w:pPr>
            <w:r>
              <w:rPr>
                <w:rFonts w:eastAsia="Times New Roman" w:cs="Tahoma"/>
                <w:sz w:val="24"/>
                <w:szCs w:val="24"/>
              </w:rPr>
              <w:t>6.9</w:t>
            </w:r>
          </w:p>
        </w:tc>
      </w:tr>
      <w:tr w:rsidR="00B0668A" w:rsidRPr="00834D5A" w:rsidTr="00027055">
        <w:trPr>
          <w:trHeight w:val="405"/>
        </w:trPr>
        <w:tc>
          <w:tcPr>
            <w:cnfStyle w:val="001000000000" w:firstRow="0" w:lastRow="0" w:firstColumn="1" w:lastColumn="0" w:oddVBand="0" w:evenVBand="0" w:oddHBand="0" w:evenHBand="0" w:firstRowFirstColumn="0" w:firstRowLastColumn="0" w:lastRowFirstColumn="0" w:lastRowLastColumn="0"/>
            <w:tcW w:w="3685" w:type="dxa"/>
            <w:hideMark/>
          </w:tcPr>
          <w:p w:rsidR="00B0668A" w:rsidRPr="00834D5A" w:rsidRDefault="00B0668A" w:rsidP="00027055">
            <w:pPr>
              <w:spacing w:line="293" w:lineRule="atLeast"/>
              <w:ind w:firstLineChars="100" w:firstLine="240"/>
              <w:rPr>
                <w:rFonts w:eastAsia="Times New Roman" w:cs="Tahoma"/>
                <w:b w:val="0"/>
                <w:sz w:val="24"/>
                <w:szCs w:val="24"/>
              </w:rPr>
            </w:pPr>
            <w:r w:rsidRPr="00834D5A">
              <w:rPr>
                <w:rFonts w:eastAsia="Times New Roman" w:cs="Tahoma"/>
                <w:b w:val="0"/>
                <w:sz w:val="24"/>
                <w:szCs w:val="24"/>
              </w:rPr>
              <w:t>12-month % change</w:t>
            </w:r>
          </w:p>
        </w:tc>
        <w:tc>
          <w:tcPr>
            <w:tcW w:w="914" w:type="dxa"/>
            <w:noWrap/>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24"/>
                <w:szCs w:val="24"/>
              </w:rPr>
            </w:pPr>
            <w:r w:rsidRPr="00834D5A">
              <w:rPr>
                <w:rFonts w:eastAsia="Times New Roman" w:cs="Tahoma"/>
                <w:color w:val="000000"/>
                <w:sz w:val="24"/>
                <w:szCs w:val="24"/>
              </w:rPr>
              <w:t>1.5</w:t>
            </w:r>
          </w:p>
        </w:tc>
        <w:tc>
          <w:tcPr>
            <w:tcW w:w="900" w:type="dxa"/>
            <w:hideMark/>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sz w:val="24"/>
                <w:szCs w:val="24"/>
              </w:rPr>
            </w:pPr>
            <w:hyperlink r:id="rId33" w:anchor="eag_tx_waco_msa.f.p" w:tooltip="Preliminary" w:history="1">
              <w:r w:rsidRPr="00834D5A">
                <w:rPr>
                  <w:rFonts w:eastAsia="Times New Roman" w:cs="Tahoma"/>
                  <w:caps/>
                  <w:sz w:val="24"/>
                  <w:szCs w:val="24"/>
                </w:rPr>
                <w:t>0.0</w:t>
              </w:r>
            </w:hyperlink>
          </w:p>
        </w:tc>
        <w:tc>
          <w:tcPr>
            <w:tcW w:w="941" w:type="dxa"/>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24"/>
                <w:szCs w:val="24"/>
              </w:rPr>
            </w:pPr>
            <w:r w:rsidRPr="00834D5A">
              <w:rPr>
                <w:rFonts w:eastAsia="Times New Roman" w:cs="Tahoma"/>
                <w:color w:val="000000"/>
                <w:sz w:val="24"/>
                <w:szCs w:val="24"/>
              </w:rPr>
              <w:t>0.0</w:t>
            </w:r>
          </w:p>
        </w:tc>
        <w:tc>
          <w:tcPr>
            <w:tcW w:w="949" w:type="dxa"/>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sz w:val="24"/>
                <w:szCs w:val="24"/>
              </w:rPr>
            </w:pPr>
            <w:r w:rsidRPr="00834D5A">
              <w:rPr>
                <w:rFonts w:eastAsia="Times New Roman" w:cs="Tahoma"/>
                <w:sz w:val="24"/>
                <w:szCs w:val="24"/>
              </w:rPr>
              <w:t>-1.4</w:t>
            </w:r>
          </w:p>
        </w:tc>
        <w:tc>
          <w:tcPr>
            <w:tcW w:w="941" w:type="dxa"/>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24"/>
                <w:szCs w:val="24"/>
              </w:rPr>
            </w:pPr>
            <w:r>
              <w:rPr>
                <w:rFonts w:eastAsia="Times New Roman" w:cs="Tahoma"/>
                <w:color w:val="000000"/>
                <w:sz w:val="24"/>
                <w:szCs w:val="24"/>
              </w:rPr>
              <w:t>0.0</w:t>
            </w:r>
          </w:p>
        </w:tc>
        <w:tc>
          <w:tcPr>
            <w:tcW w:w="958" w:type="dxa"/>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sz w:val="24"/>
                <w:szCs w:val="24"/>
              </w:rPr>
            </w:pPr>
            <w:r>
              <w:rPr>
                <w:rFonts w:eastAsia="Times New Roman" w:cs="Tahoma"/>
                <w:sz w:val="24"/>
                <w:szCs w:val="24"/>
              </w:rPr>
              <w:t>0.0</w:t>
            </w:r>
          </w:p>
        </w:tc>
      </w:tr>
      <w:tr w:rsidR="00B0668A" w:rsidRPr="00834D5A" w:rsidTr="00027055">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685" w:type="dxa"/>
            <w:hideMark/>
          </w:tcPr>
          <w:p w:rsidR="00B0668A" w:rsidRPr="00834D5A" w:rsidRDefault="00B0668A" w:rsidP="00027055">
            <w:pPr>
              <w:spacing w:line="293" w:lineRule="atLeast"/>
              <w:rPr>
                <w:rFonts w:eastAsia="Times New Roman" w:cs="Tahoma"/>
                <w:b w:val="0"/>
                <w:sz w:val="24"/>
                <w:szCs w:val="24"/>
              </w:rPr>
            </w:pPr>
            <w:hyperlink r:id="rId34" w:anchor="eag_tx_waco_msa.f.3" w:tooltip="Click to jump to footnotes at bottom of the table" w:history="1">
              <w:r w:rsidRPr="00834D5A">
                <w:rPr>
                  <w:rFonts w:eastAsia="Times New Roman" w:cs="Tahoma"/>
                  <w:b w:val="0"/>
                  <w:sz w:val="24"/>
                  <w:szCs w:val="24"/>
                </w:rPr>
                <w:t>Prof. and Business Services</w:t>
              </w:r>
            </w:hyperlink>
          </w:p>
        </w:tc>
        <w:tc>
          <w:tcPr>
            <w:tcW w:w="914" w:type="dxa"/>
            <w:noWrap/>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24"/>
                <w:szCs w:val="24"/>
              </w:rPr>
            </w:pPr>
            <w:r w:rsidRPr="00834D5A">
              <w:rPr>
                <w:rFonts w:eastAsia="Times New Roman" w:cs="Tahoma"/>
                <w:color w:val="000000"/>
                <w:sz w:val="24"/>
                <w:szCs w:val="24"/>
              </w:rPr>
              <w:t>12.4</w:t>
            </w:r>
          </w:p>
        </w:tc>
        <w:tc>
          <w:tcPr>
            <w:tcW w:w="900" w:type="dxa"/>
            <w:hideMark/>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sz w:val="24"/>
                <w:szCs w:val="24"/>
              </w:rPr>
            </w:pPr>
            <w:hyperlink r:id="rId35" w:anchor="eag_tx_waco_msa.f.p" w:tooltip="Preliminary" w:history="1">
              <w:r w:rsidRPr="00834D5A">
                <w:rPr>
                  <w:rFonts w:eastAsia="Times New Roman" w:cs="Tahoma"/>
                  <w:caps/>
                  <w:sz w:val="24"/>
                  <w:szCs w:val="24"/>
                </w:rPr>
                <w:t>11.6</w:t>
              </w:r>
            </w:hyperlink>
          </w:p>
        </w:tc>
        <w:tc>
          <w:tcPr>
            <w:tcW w:w="941" w:type="dxa"/>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24"/>
                <w:szCs w:val="24"/>
              </w:rPr>
            </w:pPr>
            <w:r w:rsidRPr="00834D5A">
              <w:rPr>
                <w:rFonts w:eastAsia="Times New Roman" w:cs="Tahoma"/>
                <w:color w:val="000000"/>
                <w:sz w:val="24"/>
                <w:szCs w:val="24"/>
              </w:rPr>
              <w:t>11.6</w:t>
            </w:r>
          </w:p>
        </w:tc>
        <w:tc>
          <w:tcPr>
            <w:tcW w:w="949" w:type="dxa"/>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sz w:val="24"/>
                <w:szCs w:val="24"/>
              </w:rPr>
            </w:pPr>
            <w:r>
              <w:rPr>
                <w:rFonts w:eastAsia="Times New Roman" w:cs="Tahoma"/>
                <w:sz w:val="24"/>
                <w:szCs w:val="24"/>
              </w:rPr>
              <w:t>11.8</w:t>
            </w:r>
          </w:p>
        </w:tc>
        <w:tc>
          <w:tcPr>
            <w:tcW w:w="941" w:type="dxa"/>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24"/>
                <w:szCs w:val="24"/>
              </w:rPr>
            </w:pPr>
            <w:r>
              <w:rPr>
                <w:rFonts w:eastAsia="Times New Roman" w:cs="Tahoma"/>
                <w:color w:val="000000"/>
                <w:sz w:val="24"/>
                <w:szCs w:val="24"/>
              </w:rPr>
              <w:t>11.8</w:t>
            </w:r>
          </w:p>
        </w:tc>
        <w:tc>
          <w:tcPr>
            <w:tcW w:w="958" w:type="dxa"/>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sz w:val="24"/>
                <w:szCs w:val="24"/>
              </w:rPr>
            </w:pPr>
            <w:r>
              <w:rPr>
                <w:rFonts w:eastAsia="Times New Roman" w:cs="Tahoma"/>
                <w:sz w:val="24"/>
                <w:szCs w:val="24"/>
              </w:rPr>
              <w:t>11.9</w:t>
            </w:r>
          </w:p>
        </w:tc>
      </w:tr>
      <w:tr w:rsidR="00B0668A" w:rsidRPr="00834D5A" w:rsidTr="00027055">
        <w:trPr>
          <w:trHeight w:val="405"/>
        </w:trPr>
        <w:tc>
          <w:tcPr>
            <w:cnfStyle w:val="001000000000" w:firstRow="0" w:lastRow="0" w:firstColumn="1" w:lastColumn="0" w:oddVBand="0" w:evenVBand="0" w:oddHBand="0" w:evenHBand="0" w:firstRowFirstColumn="0" w:firstRowLastColumn="0" w:lastRowFirstColumn="0" w:lastRowLastColumn="0"/>
            <w:tcW w:w="3685" w:type="dxa"/>
            <w:hideMark/>
          </w:tcPr>
          <w:p w:rsidR="00B0668A" w:rsidRPr="00834D5A" w:rsidRDefault="00B0668A" w:rsidP="00027055">
            <w:pPr>
              <w:spacing w:line="293" w:lineRule="atLeast"/>
              <w:ind w:firstLineChars="100" w:firstLine="240"/>
              <w:rPr>
                <w:rFonts w:eastAsia="Times New Roman" w:cs="Tahoma"/>
                <w:b w:val="0"/>
                <w:sz w:val="24"/>
                <w:szCs w:val="24"/>
              </w:rPr>
            </w:pPr>
            <w:r w:rsidRPr="00834D5A">
              <w:rPr>
                <w:rFonts w:eastAsia="Times New Roman" w:cs="Tahoma"/>
                <w:b w:val="0"/>
                <w:sz w:val="24"/>
                <w:szCs w:val="24"/>
              </w:rPr>
              <w:t>12-month % change</w:t>
            </w:r>
          </w:p>
        </w:tc>
        <w:tc>
          <w:tcPr>
            <w:tcW w:w="914" w:type="dxa"/>
            <w:noWrap/>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24"/>
                <w:szCs w:val="24"/>
              </w:rPr>
            </w:pPr>
            <w:r w:rsidRPr="00834D5A">
              <w:rPr>
                <w:rFonts w:eastAsia="Times New Roman" w:cs="Tahoma"/>
                <w:color w:val="000000"/>
                <w:sz w:val="24"/>
                <w:szCs w:val="24"/>
              </w:rPr>
              <w:t>7.8</w:t>
            </w:r>
          </w:p>
        </w:tc>
        <w:tc>
          <w:tcPr>
            <w:tcW w:w="900" w:type="dxa"/>
            <w:hideMark/>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sz w:val="24"/>
                <w:szCs w:val="24"/>
              </w:rPr>
            </w:pPr>
            <w:hyperlink r:id="rId36" w:anchor="eag_tx_waco_msa.f.p" w:tooltip="Preliminary" w:history="1">
              <w:r w:rsidRPr="00834D5A">
                <w:rPr>
                  <w:rFonts w:eastAsia="Times New Roman" w:cs="Tahoma"/>
                  <w:caps/>
                  <w:sz w:val="24"/>
                  <w:szCs w:val="24"/>
                </w:rPr>
                <w:t>0.9</w:t>
              </w:r>
            </w:hyperlink>
          </w:p>
        </w:tc>
        <w:tc>
          <w:tcPr>
            <w:tcW w:w="941" w:type="dxa"/>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24"/>
                <w:szCs w:val="24"/>
              </w:rPr>
            </w:pPr>
            <w:r w:rsidRPr="00834D5A">
              <w:rPr>
                <w:rFonts w:eastAsia="Times New Roman" w:cs="Tahoma"/>
                <w:color w:val="000000"/>
                <w:sz w:val="24"/>
                <w:szCs w:val="24"/>
              </w:rPr>
              <w:t>-1.7</w:t>
            </w:r>
          </w:p>
        </w:tc>
        <w:tc>
          <w:tcPr>
            <w:tcW w:w="949" w:type="dxa"/>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sz w:val="24"/>
                <w:szCs w:val="24"/>
              </w:rPr>
            </w:pPr>
            <w:r>
              <w:rPr>
                <w:rFonts w:eastAsia="Times New Roman" w:cs="Tahoma"/>
                <w:sz w:val="24"/>
                <w:szCs w:val="24"/>
              </w:rPr>
              <w:t>-3.3</w:t>
            </w:r>
          </w:p>
        </w:tc>
        <w:tc>
          <w:tcPr>
            <w:tcW w:w="941" w:type="dxa"/>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24"/>
                <w:szCs w:val="24"/>
              </w:rPr>
            </w:pPr>
            <w:r>
              <w:rPr>
                <w:rFonts w:eastAsia="Times New Roman" w:cs="Tahoma"/>
                <w:color w:val="000000"/>
                <w:sz w:val="24"/>
                <w:szCs w:val="24"/>
              </w:rPr>
              <w:t>-3.3</w:t>
            </w:r>
          </w:p>
        </w:tc>
        <w:tc>
          <w:tcPr>
            <w:tcW w:w="958" w:type="dxa"/>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sz w:val="24"/>
                <w:szCs w:val="24"/>
              </w:rPr>
            </w:pPr>
            <w:r>
              <w:rPr>
                <w:rFonts w:eastAsia="Times New Roman" w:cs="Tahoma"/>
                <w:sz w:val="24"/>
                <w:szCs w:val="24"/>
              </w:rPr>
              <w:t>-3.3</w:t>
            </w:r>
          </w:p>
        </w:tc>
      </w:tr>
      <w:tr w:rsidR="00B0668A" w:rsidRPr="00834D5A" w:rsidTr="00027055">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685" w:type="dxa"/>
            <w:hideMark/>
          </w:tcPr>
          <w:p w:rsidR="00B0668A" w:rsidRPr="00834D5A" w:rsidRDefault="00B0668A" w:rsidP="00027055">
            <w:pPr>
              <w:spacing w:line="293" w:lineRule="atLeast"/>
              <w:rPr>
                <w:rFonts w:eastAsia="Times New Roman" w:cs="Tahoma"/>
                <w:b w:val="0"/>
                <w:sz w:val="24"/>
                <w:szCs w:val="24"/>
              </w:rPr>
            </w:pPr>
            <w:hyperlink r:id="rId37" w:anchor="eag_tx_waco_msa.f.3" w:tooltip="Click to jump to footnotes at bottom of the table" w:history="1">
              <w:r w:rsidRPr="00834D5A">
                <w:rPr>
                  <w:rFonts w:eastAsia="Times New Roman" w:cs="Tahoma"/>
                  <w:b w:val="0"/>
                  <w:sz w:val="24"/>
                  <w:szCs w:val="24"/>
                </w:rPr>
                <w:t>Education and Health Serv.</w:t>
              </w:r>
            </w:hyperlink>
            <w:r w:rsidRPr="00834D5A">
              <w:rPr>
                <w:rFonts w:eastAsia="Times New Roman" w:cs="Tahoma"/>
                <w:b w:val="0"/>
                <w:sz w:val="24"/>
                <w:szCs w:val="24"/>
              </w:rPr>
              <w:t xml:space="preserve"> </w:t>
            </w:r>
          </w:p>
        </w:tc>
        <w:tc>
          <w:tcPr>
            <w:tcW w:w="914" w:type="dxa"/>
            <w:noWrap/>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24"/>
                <w:szCs w:val="24"/>
              </w:rPr>
            </w:pPr>
            <w:r w:rsidRPr="00834D5A">
              <w:rPr>
                <w:rFonts w:eastAsia="Times New Roman" w:cs="Tahoma"/>
                <w:color w:val="000000"/>
                <w:sz w:val="24"/>
                <w:szCs w:val="24"/>
              </w:rPr>
              <w:t>19.9</w:t>
            </w:r>
          </w:p>
        </w:tc>
        <w:tc>
          <w:tcPr>
            <w:tcW w:w="900" w:type="dxa"/>
            <w:hideMark/>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sz w:val="24"/>
                <w:szCs w:val="24"/>
              </w:rPr>
            </w:pPr>
            <w:hyperlink r:id="rId38" w:anchor="eag_tx_waco_msa.f.p" w:tooltip="Preliminary" w:history="1">
              <w:r w:rsidRPr="00834D5A">
                <w:rPr>
                  <w:rFonts w:eastAsia="Times New Roman" w:cs="Tahoma"/>
                  <w:caps/>
                  <w:sz w:val="24"/>
                  <w:szCs w:val="24"/>
                </w:rPr>
                <w:t>19.9</w:t>
              </w:r>
            </w:hyperlink>
          </w:p>
        </w:tc>
        <w:tc>
          <w:tcPr>
            <w:tcW w:w="941" w:type="dxa"/>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24"/>
                <w:szCs w:val="24"/>
              </w:rPr>
            </w:pPr>
            <w:r w:rsidRPr="00834D5A">
              <w:rPr>
                <w:rFonts w:eastAsia="Times New Roman" w:cs="Tahoma"/>
                <w:color w:val="000000"/>
                <w:sz w:val="24"/>
                <w:szCs w:val="24"/>
              </w:rPr>
              <w:t>19.9</w:t>
            </w:r>
          </w:p>
        </w:tc>
        <w:tc>
          <w:tcPr>
            <w:tcW w:w="949" w:type="dxa"/>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sz w:val="24"/>
                <w:szCs w:val="24"/>
              </w:rPr>
            </w:pPr>
            <w:r>
              <w:rPr>
                <w:rFonts w:eastAsia="Times New Roman" w:cs="Tahoma"/>
                <w:sz w:val="24"/>
                <w:szCs w:val="24"/>
              </w:rPr>
              <w:t>20.2</w:t>
            </w:r>
          </w:p>
        </w:tc>
        <w:tc>
          <w:tcPr>
            <w:tcW w:w="941" w:type="dxa"/>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24"/>
                <w:szCs w:val="24"/>
              </w:rPr>
            </w:pPr>
            <w:r>
              <w:rPr>
                <w:rFonts w:eastAsia="Times New Roman" w:cs="Tahoma"/>
                <w:color w:val="000000"/>
                <w:sz w:val="24"/>
                <w:szCs w:val="24"/>
              </w:rPr>
              <w:t>20.0</w:t>
            </w:r>
          </w:p>
        </w:tc>
        <w:tc>
          <w:tcPr>
            <w:tcW w:w="958" w:type="dxa"/>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sz w:val="24"/>
                <w:szCs w:val="24"/>
              </w:rPr>
            </w:pPr>
            <w:r>
              <w:rPr>
                <w:rFonts w:eastAsia="Times New Roman" w:cs="Tahoma"/>
                <w:sz w:val="24"/>
                <w:szCs w:val="24"/>
              </w:rPr>
              <w:t>20.1</w:t>
            </w:r>
          </w:p>
        </w:tc>
      </w:tr>
      <w:tr w:rsidR="00B0668A" w:rsidRPr="00834D5A" w:rsidTr="00027055">
        <w:trPr>
          <w:trHeight w:val="405"/>
        </w:trPr>
        <w:tc>
          <w:tcPr>
            <w:cnfStyle w:val="001000000000" w:firstRow="0" w:lastRow="0" w:firstColumn="1" w:lastColumn="0" w:oddVBand="0" w:evenVBand="0" w:oddHBand="0" w:evenHBand="0" w:firstRowFirstColumn="0" w:firstRowLastColumn="0" w:lastRowFirstColumn="0" w:lastRowLastColumn="0"/>
            <w:tcW w:w="3685" w:type="dxa"/>
            <w:hideMark/>
          </w:tcPr>
          <w:p w:rsidR="00B0668A" w:rsidRPr="00834D5A" w:rsidRDefault="00B0668A" w:rsidP="00027055">
            <w:pPr>
              <w:spacing w:line="293" w:lineRule="atLeast"/>
              <w:ind w:firstLineChars="100" w:firstLine="240"/>
              <w:rPr>
                <w:rFonts w:eastAsia="Times New Roman" w:cs="Tahoma"/>
                <w:b w:val="0"/>
                <w:sz w:val="24"/>
                <w:szCs w:val="24"/>
              </w:rPr>
            </w:pPr>
            <w:r w:rsidRPr="00834D5A">
              <w:rPr>
                <w:rFonts w:eastAsia="Times New Roman" w:cs="Tahoma"/>
                <w:b w:val="0"/>
                <w:sz w:val="24"/>
                <w:szCs w:val="24"/>
              </w:rPr>
              <w:t>12-month % change</w:t>
            </w:r>
          </w:p>
        </w:tc>
        <w:tc>
          <w:tcPr>
            <w:tcW w:w="914" w:type="dxa"/>
            <w:noWrap/>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24"/>
                <w:szCs w:val="24"/>
              </w:rPr>
            </w:pPr>
            <w:r w:rsidRPr="00834D5A">
              <w:rPr>
                <w:rFonts w:eastAsia="Times New Roman" w:cs="Tahoma"/>
                <w:color w:val="000000"/>
                <w:sz w:val="24"/>
                <w:szCs w:val="24"/>
              </w:rPr>
              <w:t>0.5</w:t>
            </w:r>
          </w:p>
        </w:tc>
        <w:tc>
          <w:tcPr>
            <w:tcW w:w="900" w:type="dxa"/>
            <w:hideMark/>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sz w:val="24"/>
                <w:szCs w:val="24"/>
              </w:rPr>
            </w:pPr>
            <w:hyperlink r:id="rId39" w:anchor="eag_tx_waco_msa.f.p" w:tooltip="Preliminary" w:history="1">
              <w:r w:rsidRPr="00834D5A">
                <w:rPr>
                  <w:rFonts w:eastAsia="Times New Roman" w:cs="Tahoma"/>
                  <w:caps/>
                  <w:sz w:val="24"/>
                  <w:szCs w:val="24"/>
                </w:rPr>
                <w:t>0.5</w:t>
              </w:r>
            </w:hyperlink>
          </w:p>
        </w:tc>
        <w:tc>
          <w:tcPr>
            <w:tcW w:w="941" w:type="dxa"/>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24"/>
                <w:szCs w:val="24"/>
              </w:rPr>
            </w:pPr>
            <w:r w:rsidRPr="00834D5A">
              <w:rPr>
                <w:rFonts w:eastAsia="Times New Roman" w:cs="Tahoma"/>
                <w:color w:val="000000"/>
                <w:sz w:val="24"/>
                <w:szCs w:val="24"/>
              </w:rPr>
              <w:t>0.5</w:t>
            </w:r>
          </w:p>
        </w:tc>
        <w:tc>
          <w:tcPr>
            <w:tcW w:w="949" w:type="dxa"/>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sz w:val="24"/>
                <w:szCs w:val="24"/>
              </w:rPr>
            </w:pPr>
            <w:r>
              <w:rPr>
                <w:rFonts w:eastAsia="Times New Roman" w:cs="Tahoma"/>
                <w:sz w:val="24"/>
                <w:szCs w:val="24"/>
              </w:rPr>
              <w:t>1.0</w:t>
            </w:r>
          </w:p>
        </w:tc>
        <w:tc>
          <w:tcPr>
            <w:tcW w:w="941" w:type="dxa"/>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24"/>
                <w:szCs w:val="24"/>
              </w:rPr>
            </w:pPr>
            <w:r>
              <w:rPr>
                <w:rFonts w:eastAsia="Times New Roman" w:cs="Tahoma"/>
                <w:color w:val="000000"/>
                <w:sz w:val="24"/>
                <w:szCs w:val="24"/>
              </w:rPr>
              <w:t>-0.5</w:t>
            </w:r>
          </w:p>
        </w:tc>
        <w:tc>
          <w:tcPr>
            <w:tcW w:w="958" w:type="dxa"/>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sz w:val="24"/>
                <w:szCs w:val="24"/>
              </w:rPr>
            </w:pPr>
            <w:r>
              <w:rPr>
                <w:rFonts w:eastAsia="Times New Roman" w:cs="Tahoma"/>
                <w:sz w:val="24"/>
                <w:szCs w:val="24"/>
              </w:rPr>
              <w:t>-0.5</w:t>
            </w:r>
          </w:p>
        </w:tc>
      </w:tr>
      <w:tr w:rsidR="00B0668A" w:rsidRPr="00834D5A" w:rsidTr="0002705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685" w:type="dxa"/>
            <w:hideMark/>
          </w:tcPr>
          <w:p w:rsidR="00B0668A" w:rsidRPr="00834D5A" w:rsidRDefault="00B0668A" w:rsidP="00027055">
            <w:pPr>
              <w:spacing w:line="293" w:lineRule="atLeast"/>
              <w:rPr>
                <w:rFonts w:eastAsia="Times New Roman" w:cs="Tahoma"/>
                <w:b w:val="0"/>
                <w:sz w:val="24"/>
                <w:szCs w:val="24"/>
              </w:rPr>
            </w:pPr>
            <w:hyperlink r:id="rId40" w:anchor="eag_tx_waco_msa.f.3" w:tooltip="Click to jump to footnotes at bottom of the table" w:history="1">
              <w:r w:rsidRPr="00834D5A">
                <w:rPr>
                  <w:rFonts w:eastAsia="Times New Roman" w:cs="Tahoma"/>
                  <w:b w:val="0"/>
                  <w:sz w:val="24"/>
                  <w:szCs w:val="24"/>
                </w:rPr>
                <w:t>Leisure and Hospitality</w:t>
              </w:r>
            </w:hyperlink>
          </w:p>
        </w:tc>
        <w:tc>
          <w:tcPr>
            <w:tcW w:w="914" w:type="dxa"/>
            <w:noWrap/>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24"/>
                <w:szCs w:val="24"/>
              </w:rPr>
            </w:pPr>
            <w:r w:rsidRPr="00834D5A">
              <w:rPr>
                <w:rFonts w:eastAsia="Times New Roman" w:cs="Tahoma"/>
                <w:color w:val="000000"/>
                <w:sz w:val="24"/>
                <w:szCs w:val="24"/>
              </w:rPr>
              <w:t>12.0</w:t>
            </w:r>
          </w:p>
        </w:tc>
        <w:tc>
          <w:tcPr>
            <w:tcW w:w="900" w:type="dxa"/>
            <w:hideMark/>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sz w:val="24"/>
                <w:szCs w:val="24"/>
              </w:rPr>
            </w:pPr>
            <w:hyperlink r:id="rId41" w:anchor="eag_tx_waco_msa.f.p" w:tooltip="Preliminary" w:history="1">
              <w:r w:rsidRPr="00834D5A">
                <w:rPr>
                  <w:rFonts w:eastAsia="Times New Roman" w:cs="Tahoma"/>
                  <w:caps/>
                  <w:sz w:val="24"/>
                  <w:szCs w:val="24"/>
                </w:rPr>
                <w:t>12.0</w:t>
              </w:r>
            </w:hyperlink>
          </w:p>
        </w:tc>
        <w:tc>
          <w:tcPr>
            <w:tcW w:w="941" w:type="dxa"/>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24"/>
                <w:szCs w:val="24"/>
              </w:rPr>
            </w:pPr>
            <w:r w:rsidRPr="00834D5A">
              <w:rPr>
                <w:rFonts w:eastAsia="Times New Roman" w:cs="Tahoma"/>
                <w:color w:val="000000"/>
                <w:sz w:val="24"/>
                <w:szCs w:val="24"/>
              </w:rPr>
              <w:t>11.7</w:t>
            </w:r>
          </w:p>
        </w:tc>
        <w:tc>
          <w:tcPr>
            <w:tcW w:w="949" w:type="dxa"/>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sz w:val="24"/>
                <w:szCs w:val="24"/>
              </w:rPr>
            </w:pPr>
            <w:r w:rsidRPr="00834D5A">
              <w:rPr>
                <w:rFonts w:eastAsia="Times New Roman" w:cs="Tahoma"/>
                <w:sz w:val="24"/>
                <w:szCs w:val="24"/>
              </w:rPr>
              <w:t>11.</w:t>
            </w:r>
            <w:r>
              <w:rPr>
                <w:rFonts w:eastAsia="Times New Roman" w:cs="Tahoma"/>
                <w:sz w:val="24"/>
                <w:szCs w:val="24"/>
              </w:rPr>
              <w:t>6</w:t>
            </w:r>
          </w:p>
        </w:tc>
        <w:tc>
          <w:tcPr>
            <w:tcW w:w="941" w:type="dxa"/>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24"/>
                <w:szCs w:val="24"/>
              </w:rPr>
            </w:pPr>
            <w:r>
              <w:rPr>
                <w:rFonts w:eastAsia="Times New Roman" w:cs="Tahoma"/>
                <w:color w:val="000000"/>
                <w:sz w:val="24"/>
                <w:szCs w:val="24"/>
              </w:rPr>
              <w:t>11.6</w:t>
            </w:r>
          </w:p>
        </w:tc>
        <w:tc>
          <w:tcPr>
            <w:tcW w:w="958" w:type="dxa"/>
          </w:tcPr>
          <w:p w:rsidR="00B0668A" w:rsidRPr="00834D5A" w:rsidRDefault="00B0668A" w:rsidP="00027055">
            <w:pPr>
              <w:tabs>
                <w:tab w:val="left" w:pos="691"/>
              </w:tabs>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sz w:val="24"/>
                <w:szCs w:val="24"/>
              </w:rPr>
            </w:pPr>
            <w:r>
              <w:rPr>
                <w:rFonts w:eastAsia="Times New Roman" w:cs="Tahoma"/>
                <w:sz w:val="24"/>
                <w:szCs w:val="24"/>
              </w:rPr>
              <w:t>11.4</w:t>
            </w:r>
          </w:p>
        </w:tc>
      </w:tr>
      <w:tr w:rsidR="00B0668A" w:rsidRPr="00834D5A" w:rsidTr="00027055">
        <w:trPr>
          <w:trHeight w:val="405"/>
        </w:trPr>
        <w:tc>
          <w:tcPr>
            <w:cnfStyle w:val="001000000000" w:firstRow="0" w:lastRow="0" w:firstColumn="1" w:lastColumn="0" w:oddVBand="0" w:evenVBand="0" w:oddHBand="0" w:evenHBand="0" w:firstRowFirstColumn="0" w:firstRowLastColumn="0" w:lastRowFirstColumn="0" w:lastRowLastColumn="0"/>
            <w:tcW w:w="3685" w:type="dxa"/>
            <w:hideMark/>
          </w:tcPr>
          <w:p w:rsidR="00B0668A" w:rsidRPr="00834D5A" w:rsidRDefault="00B0668A" w:rsidP="00027055">
            <w:pPr>
              <w:spacing w:line="293" w:lineRule="atLeast"/>
              <w:ind w:firstLineChars="100" w:firstLine="240"/>
              <w:rPr>
                <w:rFonts w:eastAsia="Times New Roman" w:cs="Tahoma"/>
                <w:b w:val="0"/>
                <w:sz w:val="24"/>
                <w:szCs w:val="24"/>
              </w:rPr>
            </w:pPr>
            <w:r w:rsidRPr="00834D5A">
              <w:rPr>
                <w:rFonts w:eastAsia="Times New Roman" w:cs="Tahoma"/>
                <w:b w:val="0"/>
                <w:sz w:val="24"/>
                <w:szCs w:val="24"/>
              </w:rPr>
              <w:t>12-month % change</w:t>
            </w:r>
          </w:p>
        </w:tc>
        <w:tc>
          <w:tcPr>
            <w:tcW w:w="914" w:type="dxa"/>
            <w:noWrap/>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24"/>
                <w:szCs w:val="24"/>
              </w:rPr>
            </w:pPr>
            <w:r w:rsidRPr="00834D5A">
              <w:rPr>
                <w:rFonts w:eastAsia="Times New Roman" w:cs="Tahoma"/>
                <w:color w:val="000000"/>
                <w:sz w:val="24"/>
                <w:szCs w:val="24"/>
              </w:rPr>
              <w:t>0.0</w:t>
            </w:r>
          </w:p>
        </w:tc>
        <w:tc>
          <w:tcPr>
            <w:tcW w:w="900" w:type="dxa"/>
            <w:hideMark/>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sz w:val="24"/>
                <w:szCs w:val="24"/>
              </w:rPr>
            </w:pPr>
            <w:hyperlink r:id="rId42" w:anchor="eag_tx_waco_msa.f.p" w:tooltip="Preliminary" w:history="1">
              <w:r w:rsidRPr="00834D5A">
                <w:rPr>
                  <w:rFonts w:eastAsia="Times New Roman" w:cs="Tahoma"/>
                  <w:caps/>
                  <w:sz w:val="24"/>
                  <w:szCs w:val="24"/>
                </w:rPr>
                <w:t>0.8</w:t>
              </w:r>
            </w:hyperlink>
          </w:p>
        </w:tc>
        <w:tc>
          <w:tcPr>
            <w:tcW w:w="941" w:type="dxa"/>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24"/>
                <w:szCs w:val="24"/>
              </w:rPr>
            </w:pPr>
            <w:r w:rsidRPr="00834D5A">
              <w:rPr>
                <w:rFonts w:eastAsia="Times New Roman" w:cs="Tahoma"/>
                <w:color w:val="000000"/>
                <w:sz w:val="24"/>
                <w:szCs w:val="24"/>
              </w:rPr>
              <w:t>0.0</w:t>
            </w:r>
          </w:p>
        </w:tc>
        <w:tc>
          <w:tcPr>
            <w:tcW w:w="949" w:type="dxa"/>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sz w:val="24"/>
                <w:szCs w:val="24"/>
              </w:rPr>
            </w:pPr>
            <w:r>
              <w:rPr>
                <w:rFonts w:eastAsia="Times New Roman" w:cs="Tahoma"/>
                <w:sz w:val="24"/>
                <w:szCs w:val="24"/>
              </w:rPr>
              <w:t>-1.7</w:t>
            </w:r>
          </w:p>
        </w:tc>
        <w:tc>
          <w:tcPr>
            <w:tcW w:w="941" w:type="dxa"/>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24"/>
                <w:szCs w:val="24"/>
              </w:rPr>
            </w:pPr>
            <w:r>
              <w:rPr>
                <w:rFonts w:eastAsia="Times New Roman" w:cs="Tahoma"/>
                <w:color w:val="000000"/>
                <w:sz w:val="24"/>
                <w:szCs w:val="24"/>
              </w:rPr>
              <w:t>-1.7</w:t>
            </w:r>
          </w:p>
        </w:tc>
        <w:tc>
          <w:tcPr>
            <w:tcW w:w="958" w:type="dxa"/>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sz w:val="24"/>
                <w:szCs w:val="24"/>
              </w:rPr>
            </w:pPr>
            <w:r>
              <w:rPr>
                <w:rFonts w:eastAsia="Times New Roman" w:cs="Tahoma"/>
                <w:sz w:val="24"/>
                <w:szCs w:val="24"/>
              </w:rPr>
              <w:t>-2.6</w:t>
            </w:r>
          </w:p>
        </w:tc>
      </w:tr>
      <w:tr w:rsidR="00B0668A" w:rsidRPr="00834D5A" w:rsidTr="00027055">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685" w:type="dxa"/>
            <w:hideMark/>
          </w:tcPr>
          <w:p w:rsidR="00B0668A" w:rsidRPr="00834D5A" w:rsidRDefault="00B0668A" w:rsidP="00027055">
            <w:pPr>
              <w:spacing w:line="293" w:lineRule="atLeast"/>
              <w:rPr>
                <w:rFonts w:eastAsia="Times New Roman" w:cs="Tahoma"/>
                <w:b w:val="0"/>
                <w:sz w:val="24"/>
                <w:szCs w:val="24"/>
              </w:rPr>
            </w:pPr>
            <w:hyperlink r:id="rId43" w:anchor="eag_tx_waco_msa.f.3" w:tooltip="Click to jump to footnotes at bottom of the table" w:history="1">
              <w:r w:rsidRPr="00834D5A">
                <w:rPr>
                  <w:rFonts w:eastAsia="Times New Roman" w:cs="Tahoma"/>
                  <w:b w:val="0"/>
                  <w:sz w:val="24"/>
                  <w:szCs w:val="24"/>
                </w:rPr>
                <w:t>Other Services</w:t>
              </w:r>
            </w:hyperlink>
          </w:p>
        </w:tc>
        <w:tc>
          <w:tcPr>
            <w:tcW w:w="914" w:type="dxa"/>
            <w:noWrap/>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24"/>
                <w:szCs w:val="24"/>
              </w:rPr>
            </w:pPr>
            <w:r w:rsidRPr="00834D5A">
              <w:rPr>
                <w:rFonts w:eastAsia="Times New Roman" w:cs="Tahoma"/>
                <w:color w:val="000000"/>
                <w:sz w:val="24"/>
                <w:szCs w:val="24"/>
              </w:rPr>
              <w:t>3.9</w:t>
            </w:r>
          </w:p>
        </w:tc>
        <w:tc>
          <w:tcPr>
            <w:tcW w:w="900" w:type="dxa"/>
            <w:hideMark/>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sz w:val="24"/>
                <w:szCs w:val="24"/>
              </w:rPr>
            </w:pPr>
            <w:hyperlink r:id="rId44" w:anchor="eag_tx_waco_msa.f.p" w:tooltip="Preliminary" w:history="1">
              <w:r w:rsidRPr="00834D5A">
                <w:rPr>
                  <w:rFonts w:eastAsia="Times New Roman" w:cs="Tahoma"/>
                  <w:caps/>
                  <w:sz w:val="24"/>
                  <w:szCs w:val="24"/>
                </w:rPr>
                <w:t>4.0</w:t>
              </w:r>
            </w:hyperlink>
          </w:p>
        </w:tc>
        <w:tc>
          <w:tcPr>
            <w:tcW w:w="941" w:type="dxa"/>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24"/>
                <w:szCs w:val="24"/>
              </w:rPr>
            </w:pPr>
            <w:r w:rsidRPr="00834D5A">
              <w:rPr>
                <w:rFonts w:eastAsia="Times New Roman" w:cs="Tahoma"/>
                <w:color w:val="000000"/>
                <w:sz w:val="24"/>
                <w:szCs w:val="24"/>
              </w:rPr>
              <w:t>4.1</w:t>
            </w:r>
          </w:p>
        </w:tc>
        <w:tc>
          <w:tcPr>
            <w:tcW w:w="949" w:type="dxa"/>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sz w:val="24"/>
                <w:szCs w:val="24"/>
              </w:rPr>
            </w:pPr>
            <w:r>
              <w:rPr>
                <w:rFonts w:eastAsia="Times New Roman" w:cs="Tahoma"/>
                <w:sz w:val="24"/>
                <w:szCs w:val="24"/>
              </w:rPr>
              <w:t>4.0</w:t>
            </w:r>
          </w:p>
        </w:tc>
        <w:tc>
          <w:tcPr>
            <w:tcW w:w="941" w:type="dxa"/>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24"/>
                <w:szCs w:val="24"/>
              </w:rPr>
            </w:pPr>
            <w:r>
              <w:rPr>
                <w:rFonts w:eastAsia="Times New Roman" w:cs="Tahoma"/>
                <w:color w:val="000000"/>
                <w:sz w:val="24"/>
                <w:szCs w:val="24"/>
              </w:rPr>
              <w:t>3.9</w:t>
            </w:r>
          </w:p>
        </w:tc>
        <w:tc>
          <w:tcPr>
            <w:tcW w:w="958" w:type="dxa"/>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sz w:val="24"/>
                <w:szCs w:val="24"/>
              </w:rPr>
            </w:pPr>
            <w:r>
              <w:rPr>
                <w:rFonts w:eastAsia="Times New Roman" w:cs="Tahoma"/>
                <w:sz w:val="24"/>
                <w:szCs w:val="24"/>
              </w:rPr>
              <w:t>3.9</w:t>
            </w:r>
          </w:p>
        </w:tc>
      </w:tr>
      <w:tr w:rsidR="00B0668A" w:rsidRPr="00834D5A" w:rsidTr="00027055">
        <w:trPr>
          <w:trHeight w:val="350"/>
        </w:trPr>
        <w:tc>
          <w:tcPr>
            <w:cnfStyle w:val="001000000000" w:firstRow="0" w:lastRow="0" w:firstColumn="1" w:lastColumn="0" w:oddVBand="0" w:evenVBand="0" w:oddHBand="0" w:evenHBand="0" w:firstRowFirstColumn="0" w:firstRowLastColumn="0" w:lastRowFirstColumn="0" w:lastRowLastColumn="0"/>
            <w:tcW w:w="3685" w:type="dxa"/>
            <w:hideMark/>
          </w:tcPr>
          <w:p w:rsidR="00B0668A" w:rsidRPr="00834D5A" w:rsidRDefault="00B0668A" w:rsidP="00027055">
            <w:pPr>
              <w:spacing w:line="293" w:lineRule="atLeast"/>
              <w:ind w:firstLineChars="100" w:firstLine="240"/>
              <w:rPr>
                <w:rFonts w:eastAsia="Times New Roman" w:cs="Tahoma"/>
                <w:b w:val="0"/>
                <w:sz w:val="24"/>
                <w:szCs w:val="24"/>
              </w:rPr>
            </w:pPr>
            <w:r w:rsidRPr="00834D5A">
              <w:rPr>
                <w:rFonts w:eastAsia="Times New Roman" w:cs="Tahoma"/>
                <w:b w:val="0"/>
                <w:sz w:val="24"/>
                <w:szCs w:val="24"/>
              </w:rPr>
              <w:t>12-month % change</w:t>
            </w:r>
          </w:p>
        </w:tc>
        <w:tc>
          <w:tcPr>
            <w:tcW w:w="914" w:type="dxa"/>
            <w:noWrap/>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24"/>
                <w:szCs w:val="24"/>
              </w:rPr>
            </w:pPr>
            <w:r w:rsidRPr="00834D5A">
              <w:rPr>
                <w:rFonts w:eastAsia="Times New Roman" w:cs="Tahoma"/>
                <w:color w:val="000000"/>
                <w:sz w:val="24"/>
                <w:szCs w:val="24"/>
              </w:rPr>
              <w:t>0.0</w:t>
            </w:r>
          </w:p>
        </w:tc>
        <w:tc>
          <w:tcPr>
            <w:tcW w:w="900" w:type="dxa"/>
            <w:hideMark/>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sz w:val="24"/>
                <w:szCs w:val="24"/>
              </w:rPr>
            </w:pPr>
            <w:hyperlink r:id="rId45" w:anchor="eag_tx_waco_msa.f.p" w:tooltip="Preliminary" w:history="1">
              <w:r w:rsidRPr="00834D5A">
                <w:rPr>
                  <w:rFonts w:eastAsia="Times New Roman" w:cs="Tahoma"/>
                  <w:caps/>
                  <w:sz w:val="24"/>
                  <w:szCs w:val="24"/>
                </w:rPr>
                <w:t>0.0</w:t>
              </w:r>
            </w:hyperlink>
          </w:p>
        </w:tc>
        <w:tc>
          <w:tcPr>
            <w:tcW w:w="941" w:type="dxa"/>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24"/>
                <w:szCs w:val="24"/>
              </w:rPr>
            </w:pPr>
            <w:r w:rsidRPr="00834D5A">
              <w:rPr>
                <w:rFonts w:eastAsia="Times New Roman" w:cs="Tahoma"/>
                <w:color w:val="000000"/>
                <w:sz w:val="24"/>
                <w:szCs w:val="24"/>
              </w:rPr>
              <w:t>2.5</w:t>
            </w:r>
          </w:p>
        </w:tc>
        <w:tc>
          <w:tcPr>
            <w:tcW w:w="949" w:type="dxa"/>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sz w:val="24"/>
                <w:szCs w:val="24"/>
              </w:rPr>
            </w:pPr>
            <w:r w:rsidRPr="00834D5A">
              <w:rPr>
                <w:rFonts w:eastAsia="Times New Roman" w:cs="Tahoma"/>
                <w:sz w:val="24"/>
                <w:szCs w:val="24"/>
              </w:rPr>
              <w:t>2.6</w:t>
            </w:r>
          </w:p>
        </w:tc>
        <w:tc>
          <w:tcPr>
            <w:tcW w:w="941" w:type="dxa"/>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24"/>
                <w:szCs w:val="24"/>
              </w:rPr>
            </w:pPr>
            <w:r>
              <w:rPr>
                <w:rFonts w:eastAsia="Times New Roman" w:cs="Tahoma"/>
                <w:color w:val="000000"/>
                <w:sz w:val="24"/>
                <w:szCs w:val="24"/>
              </w:rPr>
              <w:t>0.0</w:t>
            </w:r>
          </w:p>
        </w:tc>
        <w:tc>
          <w:tcPr>
            <w:tcW w:w="958" w:type="dxa"/>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sz w:val="24"/>
                <w:szCs w:val="24"/>
              </w:rPr>
            </w:pPr>
            <w:r>
              <w:rPr>
                <w:rFonts w:eastAsia="Times New Roman" w:cs="Tahoma"/>
                <w:sz w:val="24"/>
                <w:szCs w:val="24"/>
              </w:rPr>
              <w:t>2.6</w:t>
            </w:r>
          </w:p>
        </w:tc>
      </w:tr>
      <w:tr w:rsidR="00B0668A" w:rsidRPr="00834D5A" w:rsidTr="0002705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685" w:type="dxa"/>
            <w:hideMark/>
          </w:tcPr>
          <w:p w:rsidR="00B0668A" w:rsidRPr="00834D5A" w:rsidRDefault="00B0668A" w:rsidP="00027055">
            <w:pPr>
              <w:spacing w:line="293" w:lineRule="atLeast"/>
              <w:rPr>
                <w:rFonts w:eastAsia="Times New Roman" w:cs="Tahoma"/>
                <w:b w:val="0"/>
                <w:sz w:val="24"/>
                <w:szCs w:val="24"/>
              </w:rPr>
            </w:pPr>
            <w:hyperlink r:id="rId46" w:anchor="eag_tx_waco_msa.f.3" w:tooltip="Click to jump to footnotes at bottom of the table" w:history="1">
              <w:r w:rsidRPr="00834D5A">
                <w:rPr>
                  <w:rFonts w:eastAsia="Times New Roman" w:cs="Tahoma"/>
                  <w:b w:val="0"/>
                  <w:sz w:val="24"/>
                  <w:szCs w:val="24"/>
                </w:rPr>
                <w:t>Government</w:t>
              </w:r>
            </w:hyperlink>
          </w:p>
        </w:tc>
        <w:tc>
          <w:tcPr>
            <w:tcW w:w="914" w:type="dxa"/>
            <w:noWrap/>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24"/>
                <w:szCs w:val="24"/>
              </w:rPr>
            </w:pPr>
            <w:r w:rsidRPr="00834D5A">
              <w:rPr>
                <w:rFonts w:eastAsia="Times New Roman" w:cs="Tahoma"/>
                <w:color w:val="000000"/>
                <w:sz w:val="24"/>
                <w:szCs w:val="24"/>
              </w:rPr>
              <w:t>19.5</w:t>
            </w:r>
          </w:p>
        </w:tc>
        <w:tc>
          <w:tcPr>
            <w:tcW w:w="900" w:type="dxa"/>
            <w:hideMark/>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sz w:val="24"/>
                <w:szCs w:val="24"/>
              </w:rPr>
            </w:pPr>
            <w:hyperlink r:id="rId47" w:anchor="eag_tx_waco_msa.f.p" w:tooltip="Preliminary" w:history="1">
              <w:r w:rsidRPr="00834D5A">
                <w:rPr>
                  <w:rFonts w:eastAsia="Times New Roman" w:cs="Tahoma"/>
                  <w:caps/>
                  <w:sz w:val="24"/>
                  <w:szCs w:val="24"/>
                </w:rPr>
                <w:t>19.4</w:t>
              </w:r>
            </w:hyperlink>
          </w:p>
        </w:tc>
        <w:tc>
          <w:tcPr>
            <w:tcW w:w="941" w:type="dxa"/>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24"/>
                <w:szCs w:val="24"/>
              </w:rPr>
            </w:pPr>
            <w:r w:rsidRPr="00834D5A">
              <w:rPr>
                <w:rFonts w:eastAsia="Times New Roman" w:cs="Tahoma"/>
                <w:color w:val="000000"/>
                <w:sz w:val="24"/>
                <w:szCs w:val="24"/>
              </w:rPr>
              <w:t>19.3</w:t>
            </w:r>
          </w:p>
        </w:tc>
        <w:tc>
          <w:tcPr>
            <w:tcW w:w="949" w:type="dxa"/>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sz w:val="24"/>
                <w:szCs w:val="24"/>
              </w:rPr>
            </w:pPr>
            <w:r w:rsidRPr="00834D5A">
              <w:rPr>
                <w:rFonts w:eastAsia="Times New Roman" w:cs="Tahoma"/>
                <w:sz w:val="24"/>
                <w:szCs w:val="24"/>
              </w:rPr>
              <w:t>19.3</w:t>
            </w:r>
          </w:p>
        </w:tc>
        <w:tc>
          <w:tcPr>
            <w:tcW w:w="941" w:type="dxa"/>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24"/>
                <w:szCs w:val="24"/>
              </w:rPr>
            </w:pPr>
            <w:r>
              <w:rPr>
                <w:rFonts w:eastAsia="Times New Roman" w:cs="Tahoma"/>
                <w:color w:val="000000"/>
                <w:sz w:val="24"/>
                <w:szCs w:val="24"/>
              </w:rPr>
              <w:t>19.4</w:t>
            </w:r>
          </w:p>
        </w:tc>
        <w:tc>
          <w:tcPr>
            <w:tcW w:w="958" w:type="dxa"/>
          </w:tcPr>
          <w:p w:rsidR="00B0668A" w:rsidRPr="00834D5A" w:rsidRDefault="00B0668A" w:rsidP="00027055">
            <w:pPr>
              <w:spacing w:line="293" w:lineRule="atLeast"/>
              <w:jc w:val="right"/>
              <w:cnfStyle w:val="000000100000" w:firstRow="0" w:lastRow="0" w:firstColumn="0" w:lastColumn="0" w:oddVBand="0" w:evenVBand="0" w:oddHBand="1" w:evenHBand="0" w:firstRowFirstColumn="0" w:firstRowLastColumn="0" w:lastRowFirstColumn="0" w:lastRowLastColumn="0"/>
              <w:rPr>
                <w:rFonts w:eastAsia="Times New Roman" w:cs="Tahoma"/>
                <w:sz w:val="24"/>
                <w:szCs w:val="24"/>
              </w:rPr>
            </w:pPr>
            <w:r>
              <w:rPr>
                <w:rFonts w:eastAsia="Times New Roman" w:cs="Tahoma"/>
                <w:sz w:val="24"/>
                <w:szCs w:val="24"/>
              </w:rPr>
              <w:t>19.6</w:t>
            </w:r>
          </w:p>
        </w:tc>
      </w:tr>
      <w:tr w:rsidR="00B0668A" w:rsidRPr="00834D5A" w:rsidTr="00027055">
        <w:trPr>
          <w:trHeight w:val="405"/>
        </w:trPr>
        <w:tc>
          <w:tcPr>
            <w:cnfStyle w:val="001000000000" w:firstRow="0" w:lastRow="0" w:firstColumn="1" w:lastColumn="0" w:oddVBand="0" w:evenVBand="0" w:oddHBand="0" w:evenHBand="0" w:firstRowFirstColumn="0" w:firstRowLastColumn="0" w:lastRowFirstColumn="0" w:lastRowLastColumn="0"/>
            <w:tcW w:w="3685" w:type="dxa"/>
            <w:hideMark/>
          </w:tcPr>
          <w:p w:rsidR="00B0668A" w:rsidRPr="00834D5A" w:rsidRDefault="00B0668A" w:rsidP="00027055">
            <w:pPr>
              <w:spacing w:line="293" w:lineRule="atLeast"/>
              <w:ind w:firstLineChars="100" w:firstLine="240"/>
              <w:rPr>
                <w:rFonts w:eastAsia="Times New Roman" w:cs="Tahoma"/>
                <w:b w:val="0"/>
                <w:sz w:val="24"/>
                <w:szCs w:val="24"/>
              </w:rPr>
            </w:pPr>
            <w:r w:rsidRPr="00834D5A">
              <w:rPr>
                <w:rFonts w:eastAsia="Times New Roman" w:cs="Tahoma"/>
                <w:b w:val="0"/>
                <w:sz w:val="24"/>
                <w:szCs w:val="24"/>
              </w:rPr>
              <w:t>12-month % change</w:t>
            </w:r>
          </w:p>
        </w:tc>
        <w:tc>
          <w:tcPr>
            <w:tcW w:w="914" w:type="dxa"/>
            <w:noWrap/>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24"/>
                <w:szCs w:val="24"/>
              </w:rPr>
            </w:pPr>
            <w:r w:rsidRPr="00834D5A">
              <w:rPr>
                <w:rFonts w:eastAsia="Times New Roman" w:cs="Tahoma"/>
                <w:color w:val="000000"/>
                <w:sz w:val="24"/>
                <w:szCs w:val="24"/>
              </w:rPr>
              <w:t>1.6</w:t>
            </w:r>
          </w:p>
        </w:tc>
        <w:tc>
          <w:tcPr>
            <w:tcW w:w="900" w:type="dxa"/>
            <w:hideMark/>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sz w:val="24"/>
                <w:szCs w:val="24"/>
              </w:rPr>
            </w:pPr>
            <w:hyperlink r:id="rId48" w:anchor="eag_tx_waco_msa.f.p" w:tooltip="Preliminary" w:history="1">
              <w:r w:rsidRPr="00834D5A">
                <w:rPr>
                  <w:rFonts w:eastAsia="Times New Roman" w:cs="Tahoma"/>
                  <w:caps/>
                  <w:sz w:val="24"/>
                  <w:szCs w:val="24"/>
                </w:rPr>
                <w:t>0.5</w:t>
              </w:r>
            </w:hyperlink>
          </w:p>
        </w:tc>
        <w:tc>
          <w:tcPr>
            <w:tcW w:w="941" w:type="dxa"/>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24"/>
                <w:szCs w:val="24"/>
              </w:rPr>
            </w:pPr>
            <w:r w:rsidRPr="00834D5A">
              <w:rPr>
                <w:rFonts w:eastAsia="Times New Roman" w:cs="Tahoma"/>
                <w:color w:val="000000"/>
                <w:sz w:val="24"/>
                <w:szCs w:val="24"/>
              </w:rPr>
              <w:t>1.0</w:t>
            </w:r>
          </w:p>
        </w:tc>
        <w:tc>
          <w:tcPr>
            <w:tcW w:w="949" w:type="dxa"/>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sz w:val="24"/>
                <w:szCs w:val="24"/>
              </w:rPr>
            </w:pPr>
            <w:r w:rsidRPr="00834D5A">
              <w:rPr>
                <w:rFonts w:eastAsia="Times New Roman" w:cs="Tahoma"/>
                <w:sz w:val="24"/>
                <w:szCs w:val="24"/>
              </w:rPr>
              <w:t>1.0</w:t>
            </w:r>
          </w:p>
        </w:tc>
        <w:tc>
          <w:tcPr>
            <w:tcW w:w="941" w:type="dxa"/>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24"/>
                <w:szCs w:val="24"/>
              </w:rPr>
            </w:pPr>
            <w:r>
              <w:rPr>
                <w:rFonts w:eastAsia="Times New Roman" w:cs="Tahoma"/>
                <w:color w:val="000000"/>
                <w:sz w:val="24"/>
                <w:szCs w:val="24"/>
              </w:rPr>
              <w:t>1.0</w:t>
            </w:r>
          </w:p>
        </w:tc>
        <w:tc>
          <w:tcPr>
            <w:tcW w:w="958" w:type="dxa"/>
          </w:tcPr>
          <w:p w:rsidR="00B0668A" w:rsidRPr="00834D5A" w:rsidRDefault="00B0668A" w:rsidP="00027055">
            <w:pPr>
              <w:spacing w:line="293" w:lineRule="atLeast"/>
              <w:jc w:val="right"/>
              <w:cnfStyle w:val="000000000000" w:firstRow="0" w:lastRow="0" w:firstColumn="0" w:lastColumn="0" w:oddVBand="0" w:evenVBand="0" w:oddHBand="0" w:evenHBand="0" w:firstRowFirstColumn="0" w:firstRowLastColumn="0" w:lastRowFirstColumn="0" w:lastRowLastColumn="0"/>
              <w:rPr>
                <w:rFonts w:eastAsia="Times New Roman" w:cs="Tahoma"/>
                <w:sz w:val="24"/>
                <w:szCs w:val="24"/>
              </w:rPr>
            </w:pPr>
            <w:r>
              <w:rPr>
                <w:rFonts w:eastAsia="Times New Roman" w:cs="Tahoma"/>
                <w:sz w:val="24"/>
                <w:szCs w:val="24"/>
              </w:rPr>
              <w:t>2.1</w:t>
            </w:r>
          </w:p>
        </w:tc>
      </w:tr>
    </w:tbl>
    <w:p w:rsidR="005765A9" w:rsidRPr="00340C19" w:rsidRDefault="00340C19" w:rsidP="00340C19">
      <w:pPr>
        <w:tabs>
          <w:tab w:val="left" w:pos="720"/>
        </w:tabs>
        <w:spacing w:after="0" w:line="240" w:lineRule="auto"/>
        <w:rPr>
          <w:rFonts w:cs="Tahoma"/>
          <w:noProof/>
          <w:sz w:val="20"/>
          <w:szCs w:val="20"/>
        </w:rPr>
      </w:pPr>
      <w:r w:rsidRPr="00340C19">
        <w:rPr>
          <w:rFonts w:cs="Tahoma"/>
          <w:noProof/>
          <w:sz w:val="20"/>
          <w:szCs w:val="20"/>
        </w:rPr>
        <w:t>Source:  U.S. Bureau of Labor Statistics</w:t>
      </w:r>
    </w:p>
    <w:p w:rsidR="008A4C21" w:rsidRDefault="008A4C21" w:rsidP="00414352">
      <w:pPr>
        <w:spacing w:after="120" w:line="300" w:lineRule="auto"/>
        <w:rPr>
          <w:rFonts w:cs="Tahoma"/>
          <w:b/>
          <w:noProof/>
          <w:sz w:val="26"/>
          <w:szCs w:val="26"/>
        </w:rPr>
      </w:pPr>
    </w:p>
    <w:p w:rsidR="00813746" w:rsidRDefault="00813746" w:rsidP="00414352">
      <w:pPr>
        <w:spacing w:after="120" w:line="300" w:lineRule="auto"/>
        <w:rPr>
          <w:rFonts w:cs="Tahoma"/>
          <w:b/>
          <w:noProof/>
          <w:sz w:val="26"/>
          <w:szCs w:val="26"/>
        </w:rPr>
      </w:pPr>
      <w:r>
        <w:rPr>
          <w:rFonts w:cs="Tahoma"/>
          <w:b/>
          <w:noProof/>
          <w:sz w:val="26"/>
          <w:szCs w:val="26"/>
        </w:rPr>
        <w:t>Manufacturing Outlook</w:t>
      </w:r>
    </w:p>
    <w:p w:rsidR="00285C25" w:rsidRDefault="00C13941" w:rsidP="0015190D">
      <w:pPr>
        <w:spacing w:after="0" w:line="288" w:lineRule="auto"/>
        <w:rPr>
          <w:rFonts w:cs="Arial"/>
          <w:sz w:val="24"/>
          <w:szCs w:val="24"/>
          <w:shd w:val="clear" w:color="auto" w:fill="FFFFFF"/>
        </w:rPr>
      </w:pPr>
      <w:r>
        <w:rPr>
          <w:rFonts w:cs="Tahoma"/>
          <w:b/>
          <w:noProof/>
          <w:sz w:val="26"/>
          <w:szCs w:val="26"/>
        </w:rPr>
        <w:tab/>
      </w:r>
      <w:r w:rsidR="009B796B" w:rsidRPr="0083443A">
        <w:rPr>
          <w:rFonts w:cs="Tahoma"/>
          <w:noProof/>
          <w:sz w:val="24"/>
          <w:szCs w:val="24"/>
        </w:rPr>
        <w:t xml:space="preserve">An important source of Waco’s </w:t>
      </w:r>
      <w:r w:rsidR="00414352">
        <w:rPr>
          <w:rFonts w:cs="Tahoma"/>
          <w:noProof/>
          <w:sz w:val="24"/>
          <w:szCs w:val="24"/>
        </w:rPr>
        <w:t xml:space="preserve">income growth and </w:t>
      </w:r>
      <w:r w:rsidR="00745F7E">
        <w:rPr>
          <w:rFonts w:cs="Tahoma"/>
          <w:noProof/>
          <w:sz w:val="24"/>
          <w:szCs w:val="24"/>
        </w:rPr>
        <w:t>stability</w:t>
      </w:r>
      <w:r w:rsidR="009B796B" w:rsidRPr="0083443A">
        <w:rPr>
          <w:rFonts w:cs="Tahoma"/>
          <w:noProof/>
          <w:sz w:val="24"/>
          <w:szCs w:val="24"/>
        </w:rPr>
        <w:t xml:space="preserve"> </w:t>
      </w:r>
      <w:r w:rsidR="00414352">
        <w:rPr>
          <w:rFonts w:cs="Tahoma"/>
          <w:noProof/>
          <w:sz w:val="24"/>
          <w:szCs w:val="24"/>
        </w:rPr>
        <w:t>can be</w:t>
      </w:r>
      <w:r w:rsidR="009B796B" w:rsidRPr="0083443A">
        <w:rPr>
          <w:rFonts w:cs="Tahoma"/>
          <w:noProof/>
          <w:sz w:val="24"/>
          <w:szCs w:val="24"/>
        </w:rPr>
        <w:t xml:space="preserve"> attributed to its diversified center for advanced manufacturing of products </w:t>
      </w:r>
      <w:r w:rsidR="009B796B" w:rsidRPr="0083443A">
        <w:rPr>
          <w:rFonts w:eastAsia="Times New Roman" w:cs="Arial"/>
          <w:color w:val="555555"/>
          <w:sz w:val="24"/>
          <w:szCs w:val="24"/>
        </w:rPr>
        <w:t>that include transportation equipment, pharmaceuticals, electronic assembly, industrial equipment, building materials, and plastic and steel manufacturing that are not directly dependent on the price of locally produced energy resources.  Waco MSA manufacturing employment amounts to approximately 14 percent of the workforce that is more than 1.5 times</w:t>
      </w:r>
      <w:r w:rsidR="003A0502">
        <w:rPr>
          <w:rFonts w:eastAsia="Times New Roman" w:cs="Arial"/>
          <w:color w:val="555555"/>
          <w:sz w:val="24"/>
          <w:szCs w:val="24"/>
        </w:rPr>
        <w:t xml:space="preserve"> the</w:t>
      </w:r>
      <w:r w:rsidR="009B796B" w:rsidRPr="0083443A">
        <w:rPr>
          <w:rFonts w:eastAsia="Times New Roman" w:cs="Arial"/>
          <w:color w:val="555555"/>
          <w:sz w:val="24"/>
          <w:szCs w:val="24"/>
        </w:rPr>
        <w:t xml:space="preserve"> state and national averages.  Texas State Technical College, headquartered in Waco, is among the top ten in the nation in awarding two-year technical engineering and computer science degrees and is Texas’ No. 1 provider of precision production, manufacturing and engineering associate/certificate programs.  Baylor University’s top-rated business, entrepreneurship and engineering programs that include the</w:t>
      </w:r>
      <w:r w:rsidR="009B796B" w:rsidRPr="0083443A">
        <w:rPr>
          <w:rFonts w:cs="Arial"/>
          <w:color w:val="222222"/>
          <w:sz w:val="24"/>
          <w:szCs w:val="24"/>
          <w:shd w:val="clear" w:color="auto" w:fill="FFFFFF"/>
        </w:rPr>
        <w:t> </w:t>
      </w:r>
      <w:r w:rsidR="009B796B" w:rsidRPr="0083443A">
        <w:rPr>
          <w:rFonts w:cs="Arial"/>
          <w:bCs/>
          <w:color w:val="222222"/>
          <w:sz w:val="24"/>
          <w:szCs w:val="24"/>
          <w:shd w:val="clear" w:color="auto" w:fill="FFFFFF"/>
        </w:rPr>
        <w:t>Baylor Research and Innovation Collaborative</w:t>
      </w:r>
      <w:r w:rsidR="009B796B" w:rsidRPr="0083443A">
        <w:rPr>
          <w:rFonts w:cs="Arial"/>
          <w:color w:val="222222"/>
          <w:sz w:val="24"/>
          <w:szCs w:val="24"/>
          <w:shd w:val="clear" w:color="auto" w:fill="FFFFFF"/>
        </w:rPr>
        <w:t xml:space="preserve"> (BRIC) </w:t>
      </w:r>
      <w:r w:rsidR="00B708A2">
        <w:rPr>
          <w:rFonts w:eastAsia="Times New Roman" w:cs="Arial"/>
          <w:color w:val="555555"/>
          <w:sz w:val="24"/>
          <w:szCs w:val="24"/>
        </w:rPr>
        <w:t>provide</w:t>
      </w:r>
      <w:r w:rsidR="009B796B" w:rsidRPr="0083443A">
        <w:rPr>
          <w:rFonts w:eastAsia="Times New Roman" w:cs="Arial"/>
          <w:color w:val="555555"/>
          <w:sz w:val="24"/>
          <w:szCs w:val="24"/>
        </w:rPr>
        <w:t xml:space="preserve"> talent and research capacity </w:t>
      </w:r>
      <w:r w:rsidR="009B796B" w:rsidRPr="0083443A">
        <w:rPr>
          <w:rFonts w:cs="Arial"/>
          <w:color w:val="222222"/>
          <w:sz w:val="24"/>
          <w:szCs w:val="24"/>
          <w:shd w:val="clear" w:color="auto" w:fill="FFFFFF"/>
        </w:rPr>
        <w:t>that develops and promotes advanced technology training and </w:t>
      </w:r>
      <w:hyperlink r:id="rId49" w:tooltip="Workforce development" w:history="1">
        <w:r w:rsidR="009B796B" w:rsidRPr="0083443A">
          <w:rPr>
            <w:rStyle w:val="Hyperlink"/>
            <w:rFonts w:cs="Arial"/>
            <w:color w:val="auto"/>
            <w:sz w:val="24"/>
            <w:szCs w:val="24"/>
            <w:u w:val="none"/>
            <w:shd w:val="clear" w:color="auto" w:fill="FFFFFF"/>
          </w:rPr>
          <w:t>workforce development</w:t>
        </w:r>
      </w:hyperlink>
      <w:r w:rsidR="009B796B" w:rsidRPr="0083443A">
        <w:rPr>
          <w:rFonts w:cs="Arial"/>
          <w:sz w:val="24"/>
          <w:szCs w:val="24"/>
          <w:shd w:val="clear" w:color="auto" w:fill="FFFFFF"/>
        </w:rPr>
        <w:t>.</w:t>
      </w:r>
      <w:r w:rsidR="0083443A">
        <w:rPr>
          <w:rFonts w:cs="Arial"/>
          <w:sz w:val="24"/>
          <w:szCs w:val="24"/>
          <w:shd w:val="clear" w:color="auto" w:fill="FFFFFF"/>
        </w:rPr>
        <w:t xml:space="preserve"> </w:t>
      </w:r>
    </w:p>
    <w:p w:rsidR="0015190D" w:rsidRDefault="002A2D9A" w:rsidP="002A2D9A">
      <w:pPr>
        <w:shd w:val="clear" w:color="auto" w:fill="FFFFFF"/>
        <w:tabs>
          <w:tab w:val="left" w:pos="720"/>
        </w:tabs>
        <w:spacing w:after="0" w:line="300" w:lineRule="auto"/>
        <w:textAlignment w:val="baseline"/>
        <w:rPr>
          <w:rFonts w:cs="Arial"/>
          <w:sz w:val="24"/>
          <w:szCs w:val="24"/>
          <w:shd w:val="clear" w:color="auto" w:fill="FFFFFF"/>
        </w:rPr>
      </w:pPr>
      <w:r>
        <w:rPr>
          <w:rFonts w:cs="Arial"/>
          <w:sz w:val="24"/>
          <w:szCs w:val="24"/>
          <w:shd w:val="clear" w:color="auto" w:fill="FFFFFF"/>
        </w:rPr>
        <w:tab/>
      </w:r>
      <w:r w:rsidR="0015190D">
        <w:rPr>
          <w:noProof/>
        </w:rPr>
        <w:drawing>
          <wp:inline distT="0" distB="0" distL="0" distR="0" wp14:anchorId="2656492C" wp14:editId="5741F420">
            <wp:extent cx="5943600" cy="3009900"/>
            <wp:effectExtent l="0" t="0" r="0" b="0"/>
            <wp:docPr id="6" name="Chart 6">
              <a:extLst xmlns:a="http://schemas.openxmlformats.org/drawingml/2006/main">
                <a:ext uri="{FF2B5EF4-FFF2-40B4-BE49-F238E27FC236}">
                  <a16:creationId xmlns:a16="http://schemas.microsoft.com/office/drawing/2014/main" id="{FFAD5FAE-447D-4DE6-8049-BEF7B18A91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15190D" w:rsidRPr="009C29D1" w:rsidRDefault="0015190D" w:rsidP="0015190D">
      <w:pPr>
        <w:spacing w:after="0" w:line="300" w:lineRule="auto"/>
        <w:rPr>
          <w:rFonts w:cs="Arial"/>
          <w:sz w:val="20"/>
          <w:szCs w:val="20"/>
          <w:shd w:val="clear" w:color="auto" w:fill="FFFFFF"/>
        </w:rPr>
      </w:pPr>
      <w:r w:rsidRPr="009C29D1">
        <w:rPr>
          <w:rFonts w:cs="Arial"/>
          <w:sz w:val="20"/>
          <w:szCs w:val="20"/>
          <w:shd w:val="clear" w:color="auto" w:fill="FFFFFF"/>
        </w:rPr>
        <w:t>Source: Texas Workforce Commission</w:t>
      </w:r>
    </w:p>
    <w:p w:rsidR="0015190D" w:rsidRPr="00193803" w:rsidRDefault="0015190D" w:rsidP="002A2D9A">
      <w:pPr>
        <w:shd w:val="clear" w:color="auto" w:fill="FFFFFF"/>
        <w:tabs>
          <w:tab w:val="left" w:pos="720"/>
        </w:tabs>
        <w:spacing w:after="0" w:line="300" w:lineRule="auto"/>
        <w:textAlignment w:val="baseline"/>
        <w:rPr>
          <w:rFonts w:cs="Arial"/>
          <w:sz w:val="16"/>
          <w:szCs w:val="16"/>
          <w:shd w:val="clear" w:color="auto" w:fill="FFFFFF"/>
        </w:rPr>
      </w:pPr>
    </w:p>
    <w:p w:rsidR="00BC6929" w:rsidRDefault="0015190D" w:rsidP="002A2D9A">
      <w:pPr>
        <w:shd w:val="clear" w:color="auto" w:fill="FFFFFF"/>
        <w:tabs>
          <w:tab w:val="left" w:pos="720"/>
        </w:tabs>
        <w:spacing w:after="0" w:line="300" w:lineRule="auto"/>
        <w:textAlignment w:val="baseline"/>
        <w:rPr>
          <w:rFonts w:eastAsia="Times New Roman" w:cs="Arial"/>
          <w:color w:val="555555"/>
          <w:sz w:val="24"/>
          <w:szCs w:val="24"/>
        </w:rPr>
      </w:pPr>
      <w:r>
        <w:rPr>
          <w:rFonts w:cs="Arial"/>
          <w:sz w:val="24"/>
          <w:szCs w:val="24"/>
          <w:shd w:val="clear" w:color="auto" w:fill="FFFFFF"/>
        </w:rPr>
        <w:tab/>
      </w:r>
      <w:r w:rsidR="00285C25">
        <w:rPr>
          <w:rFonts w:cs="Arial"/>
          <w:sz w:val="24"/>
          <w:szCs w:val="24"/>
          <w:shd w:val="clear" w:color="auto" w:fill="FFFFFF"/>
        </w:rPr>
        <w:t>Figure 3 shows that</w:t>
      </w:r>
      <w:r w:rsidR="00D648EB">
        <w:rPr>
          <w:rFonts w:cs="Arial"/>
          <w:sz w:val="24"/>
          <w:szCs w:val="24"/>
          <w:shd w:val="clear" w:color="auto" w:fill="FFFFFF"/>
        </w:rPr>
        <w:t xml:space="preserve"> manufacturing employment that reached a peak average of 16,167 workers in 4th quarter of 2006 decreased to a quarterly average of 14,272 in </w:t>
      </w:r>
      <w:r w:rsidR="008F3E6D">
        <w:rPr>
          <w:rFonts w:cs="Arial"/>
          <w:sz w:val="24"/>
          <w:szCs w:val="24"/>
          <w:shd w:val="clear" w:color="auto" w:fill="FFFFFF"/>
        </w:rPr>
        <w:t>4</w:t>
      </w:r>
      <w:r w:rsidR="008F3E6D" w:rsidRPr="008F3E6D">
        <w:rPr>
          <w:rFonts w:cs="Arial"/>
          <w:sz w:val="24"/>
          <w:szCs w:val="24"/>
          <w:shd w:val="clear" w:color="auto" w:fill="FFFFFF"/>
          <w:vertAlign w:val="superscript"/>
        </w:rPr>
        <w:t>th</w:t>
      </w:r>
      <w:r w:rsidR="008F3E6D">
        <w:rPr>
          <w:rFonts w:cs="Arial"/>
          <w:sz w:val="24"/>
          <w:szCs w:val="24"/>
          <w:shd w:val="clear" w:color="auto" w:fill="FFFFFF"/>
        </w:rPr>
        <w:t xml:space="preserve"> quarter 2009, largely </w:t>
      </w:r>
      <w:r w:rsidR="00D648EB">
        <w:rPr>
          <w:rFonts w:cs="Arial"/>
          <w:sz w:val="24"/>
          <w:szCs w:val="24"/>
          <w:shd w:val="clear" w:color="auto" w:fill="FFFFFF"/>
        </w:rPr>
        <w:t>in response to the Great Recession</w:t>
      </w:r>
      <w:r w:rsidR="008F3E6D">
        <w:rPr>
          <w:rFonts w:cs="Arial"/>
          <w:sz w:val="24"/>
          <w:szCs w:val="24"/>
          <w:shd w:val="clear" w:color="auto" w:fill="FFFFFF"/>
        </w:rPr>
        <w:t>.  In 2010-11 manufacturing job growth reached</w:t>
      </w:r>
      <w:r w:rsidR="00D648EB">
        <w:rPr>
          <w:rFonts w:cs="Arial"/>
          <w:sz w:val="24"/>
          <w:szCs w:val="24"/>
          <w:shd w:val="clear" w:color="auto" w:fill="FFFFFF"/>
        </w:rPr>
        <w:t xml:space="preserve"> </w:t>
      </w:r>
      <w:r w:rsidR="008F3E6D">
        <w:rPr>
          <w:rFonts w:cs="Arial"/>
          <w:sz w:val="24"/>
          <w:szCs w:val="24"/>
          <w:shd w:val="clear" w:color="auto" w:fill="FFFFFF"/>
        </w:rPr>
        <w:t xml:space="preserve">stability before beginning to rise in 2012.  </w:t>
      </w:r>
      <w:r w:rsidR="00406038">
        <w:rPr>
          <w:rFonts w:cs="Arial"/>
          <w:sz w:val="24"/>
          <w:szCs w:val="24"/>
          <w:shd w:val="clear" w:color="auto" w:fill="FFFFFF"/>
        </w:rPr>
        <w:t>In</w:t>
      </w:r>
      <w:r w:rsidR="008F3E6D">
        <w:rPr>
          <w:rFonts w:cs="Arial"/>
          <w:sz w:val="24"/>
          <w:szCs w:val="24"/>
          <w:shd w:val="clear" w:color="auto" w:fill="FFFFFF"/>
        </w:rPr>
        <w:t xml:space="preserve"> 2</w:t>
      </w:r>
      <w:r w:rsidR="008F3E6D" w:rsidRPr="008F3E6D">
        <w:rPr>
          <w:rFonts w:cs="Arial"/>
          <w:sz w:val="24"/>
          <w:szCs w:val="24"/>
          <w:shd w:val="clear" w:color="auto" w:fill="FFFFFF"/>
          <w:vertAlign w:val="superscript"/>
        </w:rPr>
        <w:t>nd</w:t>
      </w:r>
      <w:r w:rsidR="008F3E6D">
        <w:rPr>
          <w:rFonts w:cs="Arial"/>
          <w:sz w:val="24"/>
          <w:szCs w:val="24"/>
          <w:shd w:val="clear" w:color="auto" w:fill="FFFFFF"/>
        </w:rPr>
        <w:t xml:space="preserve"> quarter 2015 the manufacturing sector </w:t>
      </w:r>
      <w:r w:rsidR="00406038">
        <w:rPr>
          <w:rFonts w:cs="Arial"/>
          <w:sz w:val="24"/>
          <w:szCs w:val="24"/>
          <w:shd w:val="clear" w:color="auto" w:fill="FFFFFF"/>
        </w:rPr>
        <w:t xml:space="preserve">reached a quarterly average of 16,177 workers that </w:t>
      </w:r>
      <w:r w:rsidR="008F3E6D">
        <w:rPr>
          <w:rFonts w:cs="Arial"/>
          <w:sz w:val="24"/>
          <w:szCs w:val="24"/>
          <w:shd w:val="clear" w:color="auto" w:fill="FFFFFF"/>
        </w:rPr>
        <w:t xml:space="preserve">replaced the jobs lost during the </w:t>
      </w:r>
      <w:r w:rsidR="00406038">
        <w:rPr>
          <w:rFonts w:cs="Arial"/>
          <w:sz w:val="24"/>
          <w:szCs w:val="24"/>
          <w:shd w:val="clear" w:color="auto" w:fill="FFFFFF"/>
        </w:rPr>
        <w:t>recession, followed by an annual rate of job growth that averaged over eleven percent in 2016 before reaching stable growth through 1</w:t>
      </w:r>
      <w:r w:rsidR="00406038" w:rsidRPr="00406038">
        <w:rPr>
          <w:rFonts w:cs="Arial"/>
          <w:sz w:val="24"/>
          <w:szCs w:val="24"/>
          <w:shd w:val="clear" w:color="auto" w:fill="FFFFFF"/>
          <w:vertAlign w:val="superscript"/>
        </w:rPr>
        <w:t>st</w:t>
      </w:r>
      <w:r w:rsidR="00406038">
        <w:rPr>
          <w:rFonts w:cs="Arial"/>
          <w:sz w:val="24"/>
          <w:szCs w:val="24"/>
          <w:shd w:val="clear" w:color="auto" w:fill="FFFFFF"/>
        </w:rPr>
        <w:t xml:space="preserve"> quarter 2017.  </w:t>
      </w:r>
      <w:r w:rsidR="002A2D9A">
        <w:rPr>
          <w:rFonts w:eastAsia="Times New Roman" w:cs="Arial"/>
          <w:color w:val="555555"/>
          <w:sz w:val="24"/>
          <w:szCs w:val="24"/>
        </w:rPr>
        <w:t>Although</w:t>
      </w:r>
      <w:r w:rsidR="002A2D9A" w:rsidRPr="0083443A">
        <w:rPr>
          <w:rFonts w:eastAsia="Times New Roman" w:cs="Arial"/>
          <w:color w:val="555555"/>
          <w:sz w:val="24"/>
          <w:szCs w:val="24"/>
        </w:rPr>
        <w:t xml:space="preserve"> </w:t>
      </w:r>
      <w:r w:rsidR="002A2D9A" w:rsidRPr="0083443A">
        <w:rPr>
          <w:rFonts w:eastAsia="Times New Roman" w:cs="Arial"/>
          <w:sz w:val="24"/>
          <w:szCs w:val="24"/>
        </w:rPr>
        <w:t xml:space="preserve">employment </w:t>
      </w:r>
      <w:r w:rsidR="002A2D9A">
        <w:rPr>
          <w:rFonts w:eastAsia="Times New Roman" w:cs="Arial"/>
          <w:sz w:val="24"/>
          <w:szCs w:val="24"/>
        </w:rPr>
        <w:t>by</w:t>
      </w:r>
      <w:r w:rsidR="002A2D9A" w:rsidRPr="0083443A">
        <w:rPr>
          <w:rFonts w:eastAsia="Times New Roman" w:cs="Arial"/>
          <w:sz w:val="24"/>
          <w:szCs w:val="24"/>
        </w:rPr>
        <w:t xml:space="preserve"> Waco MSA manufacturing </w:t>
      </w:r>
      <w:r w:rsidR="002A2D9A">
        <w:rPr>
          <w:rFonts w:eastAsia="Times New Roman" w:cs="Arial"/>
          <w:sz w:val="24"/>
          <w:szCs w:val="24"/>
        </w:rPr>
        <w:t>firms increased since 1</w:t>
      </w:r>
      <w:r w:rsidR="002A2D9A" w:rsidRPr="002A2D9A">
        <w:rPr>
          <w:rFonts w:eastAsia="Times New Roman" w:cs="Arial"/>
          <w:sz w:val="24"/>
          <w:szCs w:val="24"/>
          <w:vertAlign w:val="superscript"/>
        </w:rPr>
        <w:t>st</w:t>
      </w:r>
      <w:r w:rsidR="002A2D9A">
        <w:rPr>
          <w:rFonts w:eastAsia="Times New Roman" w:cs="Arial"/>
          <w:sz w:val="24"/>
          <w:szCs w:val="24"/>
        </w:rPr>
        <w:t xml:space="preserve"> quarter 2015,</w:t>
      </w:r>
      <w:r w:rsidR="002A2D9A" w:rsidRPr="0083443A">
        <w:rPr>
          <w:rFonts w:eastAsia="Times New Roman" w:cs="Arial"/>
          <w:sz w:val="24"/>
          <w:szCs w:val="24"/>
        </w:rPr>
        <w:t xml:space="preserve"> </w:t>
      </w:r>
      <w:r w:rsidR="002A2D9A" w:rsidRPr="0083443A">
        <w:rPr>
          <w:rFonts w:eastAsia="Times New Roman" w:cs="Arial"/>
          <w:color w:val="555555"/>
          <w:sz w:val="24"/>
          <w:szCs w:val="24"/>
        </w:rPr>
        <w:t>the</w:t>
      </w:r>
      <w:r w:rsidR="002A2D9A">
        <w:rPr>
          <w:rFonts w:eastAsia="Times New Roman" w:cs="Arial"/>
          <w:color w:val="555555"/>
          <w:sz w:val="24"/>
          <w:szCs w:val="24"/>
        </w:rPr>
        <w:t xml:space="preserve"> pace of growth decreased</w:t>
      </w:r>
      <w:r w:rsidR="002A2D9A" w:rsidRPr="0083443A">
        <w:rPr>
          <w:rFonts w:eastAsia="Times New Roman" w:cs="Arial"/>
          <w:color w:val="555555"/>
          <w:sz w:val="24"/>
          <w:szCs w:val="24"/>
        </w:rPr>
        <w:t xml:space="preserve"> </w:t>
      </w:r>
      <w:r w:rsidR="002A2D9A">
        <w:rPr>
          <w:rFonts w:eastAsia="Times New Roman" w:cs="Arial"/>
          <w:color w:val="555555"/>
          <w:sz w:val="24"/>
          <w:szCs w:val="24"/>
        </w:rPr>
        <w:t xml:space="preserve">in 2017 </w:t>
      </w:r>
      <w:r w:rsidR="00A672D7">
        <w:rPr>
          <w:rFonts w:eastAsia="Times New Roman" w:cs="Arial"/>
          <w:color w:val="555555"/>
          <w:sz w:val="24"/>
          <w:szCs w:val="24"/>
        </w:rPr>
        <w:t xml:space="preserve">with </w:t>
      </w:r>
      <w:r w:rsidR="006D4D4C">
        <w:rPr>
          <w:rFonts w:eastAsia="Times New Roman" w:cs="Arial"/>
          <w:color w:val="555555"/>
          <w:sz w:val="24"/>
          <w:szCs w:val="24"/>
        </w:rPr>
        <w:t xml:space="preserve">only 100 more manufacturing jobs in September 2017 compared with the same month a year ago. </w:t>
      </w:r>
      <w:r>
        <w:rPr>
          <w:rFonts w:eastAsia="Times New Roman" w:cs="Arial"/>
          <w:color w:val="555555"/>
          <w:sz w:val="24"/>
          <w:szCs w:val="24"/>
        </w:rPr>
        <w:t xml:space="preserve">  </w:t>
      </w:r>
    </w:p>
    <w:p w:rsidR="004D22D5" w:rsidRDefault="009A0AD5" w:rsidP="00DC22F5">
      <w:pPr>
        <w:spacing w:after="120" w:line="300" w:lineRule="auto"/>
        <w:ind w:firstLine="720"/>
        <w:rPr>
          <w:rFonts w:eastAsia="Times New Roman" w:cs="Tahoma"/>
          <w:color w:val="333333"/>
          <w:sz w:val="24"/>
          <w:szCs w:val="24"/>
        </w:rPr>
      </w:pPr>
      <w:r>
        <w:rPr>
          <w:rFonts w:eastAsia="Times New Roman" w:cs="Arial"/>
          <w:color w:val="555555"/>
          <w:sz w:val="24"/>
          <w:szCs w:val="24"/>
        </w:rPr>
        <w:t xml:space="preserve">The aerospace industry </w:t>
      </w:r>
      <w:r w:rsidR="00A74FFB">
        <w:rPr>
          <w:rFonts w:eastAsia="Times New Roman" w:cs="Arial"/>
          <w:color w:val="555555"/>
          <w:sz w:val="24"/>
          <w:szCs w:val="24"/>
        </w:rPr>
        <w:t xml:space="preserve">and other makers of transportation equipment are </w:t>
      </w:r>
      <w:r>
        <w:rPr>
          <w:rFonts w:eastAsia="Times New Roman" w:cs="Arial"/>
          <w:color w:val="555555"/>
          <w:sz w:val="24"/>
          <w:szCs w:val="24"/>
        </w:rPr>
        <w:t>leading employer</w:t>
      </w:r>
      <w:r w:rsidR="00A74FFB">
        <w:rPr>
          <w:rFonts w:eastAsia="Times New Roman" w:cs="Arial"/>
          <w:color w:val="555555"/>
          <w:sz w:val="24"/>
          <w:szCs w:val="24"/>
        </w:rPr>
        <w:t>s</w:t>
      </w:r>
      <w:r>
        <w:rPr>
          <w:rFonts w:eastAsia="Times New Roman" w:cs="Arial"/>
          <w:color w:val="555555"/>
          <w:sz w:val="24"/>
          <w:szCs w:val="24"/>
        </w:rPr>
        <w:t xml:space="preserve"> in the Waco economy.  SpaceX, a designer, manufacturer, and launcher of advanced spacecraft employs about 500 engineering and technical professionals.</w:t>
      </w:r>
      <w:r w:rsidR="00A74FFB">
        <w:rPr>
          <w:rFonts w:eastAsia="Times New Roman" w:cs="Arial"/>
          <w:color w:val="555555"/>
          <w:sz w:val="24"/>
          <w:szCs w:val="24"/>
        </w:rPr>
        <w:t xml:space="preserve">  L-3 Communications with about 1,300 employees </w:t>
      </w:r>
      <w:r w:rsidR="00A672D7">
        <w:rPr>
          <w:rFonts w:eastAsia="Times New Roman" w:cs="Arial"/>
          <w:color w:val="555555"/>
          <w:sz w:val="24"/>
          <w:szCs w:val="24"/>
        </w:rPr>
        <w:t>modifies military and commercial aircraft at its facility at Texas State Technical College</w:t>
      </w:r>
      <w:r w:rsidR="00A74FFB">
        <w:rPr>
          <w:rFonts w:eastAsia="Times New Roman" w:cs="Arial"/>
          <w:color w:val="555555"/>
          <w:sz w:val="24"/>
          <w:szCs w:val="24"/>
        </w:rPr>
        <w:t>,</w:t>
      </w:r>
      <w:r>
        <w:rPr>
          <w:rFonts w:eastAsia="Times New Roman" w:cs="Arial"/>
          <w:color w:val="555555"/>
          <w:sz w:val="24"/>
          <w:szCs w:val="24"/>
        </w:rPr>
        <w:t xml:space="preserve"> even though it has recently </w:t>
      </w:r>
      <w:r w:rsidR="00A74FFB">
        <w:rPr>
          <w:rFonts w:eastAsia="Times New Roman" w:cs="Arial"/>
          <w:color w:val="555555"/>
          <w:sz w:val="24"/>
          <w:szCs w:val="24"/>
        </w:rPr>
        <w:t>experienced</w:t>
      </w:r>
      <w:r w:rsidR="0015190D">
        <w:rPr>
          <w:rFonts w:eastAsia="Times New Roman" w:cs="Arial"/>
          <w:color w:val="555555"/>
          <w:sz w:val="24"/>
          <w:szCs w:val="24"/>
        </w:rPr>
        <w:t xml:space="preserve"> cuts in defense spending </w:t>
      </w:r>
      <w:r w:rsidR="00CE0A58">
        <w:rPr>
          <w:rFonts w:eastAsia="Times New Roman" w:cs="Arial"/>
          <w:color w:val="555555"/>
          <w:sz w:val="24"/>
          <w:szCs w:val="24"/>
        </w:rPr>
        <w:t xml:space="preserve">that has led to </w:t>
      </w:r>
      <w:r w:rsidR="00A672D7">
        <w:rPr>
          <w:rFonts w:eastAsia="Times New Roman" w:cs="Arial"/>
          <w:color w:val="555555"/>
          <w:sz w:val="24"/>
          <w:szCs w:val="24"/>
        </w:rPr>
        <w:t>layoffs</w:t>
      </w:r>
      <w:r w:rsidR="00BC6929">
        <w:rPr>
          <w:rFonts w:eastAsia="Times New Roman" w:cs="Arial"/>
          <w:color w:val="555555"/>
          <w:sz w:val="24"/>
          <w:szCs w:val="24"/>
        </w:rPr>
        <w:t xml:space="preserve">.  </w:t>
      </w:r>
      <w:r w:rsidR="00A74FFB">
        <w:rPr>
          <w:rFonts w:eastAsia="Times New Roman" w:cs="Arial"/>
          <w:color w:val="555555"/>
          <w:sz w:val="24"/>
          <w:szCs w:val="24"/>
        </w:rPr>
        <w:t>Allergan is another advance manufacturing company</w:t>
      </w:r>
      <w:r w:rsidR="00CE0A58">
        <w:rPr>
          <w:rFonts w:eastAsia="Times New Roman" w:cs="Arial"/>
          <w:color w:val="555555"/>
          <w:sz w:val="24"/>
          <w:szCs w:val="24"/>
        </w:rPr>
        <w:t xml:space="preserve"> </w:t>
      </w:r>
      <w:r w:rsidR="00A74FFB">
        <w:rPr>
          <w:rFonts w:eastAsia="Times New Roman" w:cs="Arial"/>
          <w:color w:val="555555"/>
          <w:sz w:val="24"/>
          <w:szCs w:val="24"/>
        </w:rPr>
        <w:t>that is adding skilled production jobs as it e</w:t>
      </w:r>
      <w:r w:rsidR="00BC6929">
        <w:rPr>
          <w:rFonts w:eastAsia="Times New Roman" w:cs="Arial"/>
          <w:color w:val="555555"/>
          <w:sz w:val="24"/>
          <w:szCs w:val="24"/>
        </w:rPr>
        <w:t>xpan</w:t>
      </w:r>
      <w:r w:rsidR="00A74FFB">
        <w:rPr>
          <w:rFonts w:eastAsia="Times New Roman" w:cs="Arial"/>
          <w:color w:val="555555"/>
          <w:sz w:val="24"/>
          <w:szCs w:val="24"/>
        </w:rPr>
        <w:t>ds</w:t>
      </w:r>
      <w:r w:rsidR="00BC6929">
        <w:rPr>
          <w:rFonts w:eastAsia="Times New Roman" w:cs="Arial"/>
          <w:color w:val="555555"/>
          <w:sz w:val="24"/>
          <w:szCs w:val="24"/>
        </w:rPr>
        <w:t xml:space="preserve"> i</w:t>
      </w:r>
      <w:r w:rsidR="00A74FFB">
        <w:rPr>
          <w:rFonts w:eastAsia="Times New Roman" w:cs="Arial"/>
          <w:color w:val="555555"/>
          <w:sz w:val="24"/>
          <w:szCs w:val="24"/>
        </w:rPr>
        <w:t>ts</w:t>
      </w:r>
      <w:r w:rsidR="00BC6929">
        <w:rPr>
          <w:rFonts w:eastAsia="Times New Roman" w:cs="Arial"/>
          <w:color w:val="555555"/>
          <w:sz w:val="24"/>
          <w:szCs w:val="24"/>
        </w:rPr>
        <w:t xml:space="preserve"> facilities to produce eyecare pharmaceuticals</w:t>
      </w:r>
      <w:r w:rsidR="00A74FFB">
        <w:rPr>
          <w:rFonts w:eastAsia="Times New Roman" w:cs="Arial"/>
          <w:color w:val="555555"/>
          <w:sz w:val="24"/>
          <w:szCs w:val="24"/>
        </w:rPr>
        <w:t xml:space="preserve">.  Waco is continuing to develop its manufacturing base to include </w:t>
      </w:r>
      <w:r w:rsidR="00DC22F5">
        <w:rPr>
          <w:rFonts w:eastAsia="Times New Roman" w:cs="Arial"/>
          <w:color w:val="555555"/>
          <w:sz w:val="24"/>
          <w:szCs w:val="24"/>
        </w:rPr>
        <w:t>higher technology products that attract higher educated and more productive workers that command higher real incomes.  As</w:t>
      </w:r>
      <w:r w:rsidR="003F7D29">
        <w:rPr>
          <w:rFonts w:eastAsia="Times New Roman" w:cs="Arial"/>
          <w:color w:val="555555"/>
          <w:sz w:val="24"/>
          <w:szCs w:val="24"/>
        </w:rPr>
        <w:t xml:space="preserve"> shown in f</w:t>
      </w:r>
      <w:r w:rsidR="003F7D29">
        <w:rPr>
          <w:rFonts w:eastAsia="Times New Roman" w:cs="Arial"/>
          <w:sz w:val="24"/>
          <w:szCs w:val="24"/>
        </w:rPr>
        <w:t>igure 4,</w:t>
      </w:r>
      <w:r w:rsidR="00BC6929">
        <w:rPr>
          <w:rFonts w:eastAsia="Times New Roman" w:cs="Arial"/>
          <w:sz w:val="24"/>
          <w:szCs w:val="24"/>
        </w:rPr>
        <w:t xml:space="preserve"> during the 2008-09 recession and beyond the</w:t>
      </w:r>
      <w:r w:rsidR="00BC6929">
        <w:rPr>
          <w:rFonts w:eastAsia="Times New Roman" w:cs="Tahoma"/>
          <w:color w:val="333333"/>
          <w:sz w:val="24"/>
          <w:szCs w:val="24"/>
        </w:rPr>
        <w:t xml:space="preserve"> employment of more productive manufacturing workers has supported growth in real wages per worker even </w:t>
      </w:r>
      <w:r w:rsidR="00DC22F5">
        <w:rPr>
          <w:rFonts w:eastAsia="Times New Roman" w:cs="Tahoma"/>
          <w:color w:val="333333"/>
          <w:sz w:val="24"/>
          <w:szCs w:val="24"/>
        </w:rPr>
        <w:t xml:space="preserve">during periods of relatively slow </w:t>
      </w:r>
      <w:r w:rsidR="00BC6929">
        <w:rPr>
          <w:rFonts w:eastAsia="Times New Roman" w:cs="Tahoma"/>
          <w:color w:val="333333"/>
          <w:sz w:val="24"/>
          <w:szCs w:val="24"/>
        </w:rPr>
        <w:t xml:space="preserve">employment </w:t>
      </w:r>
      <w:r w:rsidR="00DC22F5">
        <w:rPr>
          <w:rFonts w:eastAsia="Times New Roman" w:cs="Tahoma"/>
          <w:color w:val="333333"/>
          <w:sz w:val="24"/>
          <w:szCs w:val="24"/>
        </w:rPr>
        <w:t xml:space="preserve">growth.  </w:t>
      </w:r>
    </w:p>
    <w:p w:rsidR="00BC6929" w:rsidRPr="00DE4798" w:rsidRDefault="004D22D5" w:rsidP="004D22D5">
      <w:pPr>
        <w:spacing w:after="120" w:line="300" w:lineRule="auto"/>
        <w:rPr>
          <w:rFonts w:eastAsia="Times New Roman" w:cs="Arial"/>
          <w:color w:val="555555"/>
          <w:sz w:val="16"/>
          <w:szCs w:val="16"/>
        </w:rPr>
      </w:pPr>
      <w:r>
        <w:rPr>
          <w:noProof/>
        </w:rPr>
        <w:drawing>
          <wp:inline distT="0" distB="0" distL="0" distR="0" wp14:anchorId="45271F0B" wp14:editId="08DED2E0">
            <wp:extent cx="5943600" cy="3019425"/>
            <wp:effectExtent l="0" t="0" r="0" b="9525"/>
            <wp:docPr id="7" name="Chart 7">
              <a:extLst xmlns:a="http://schemas.openxmlformats.org/drawingml/2006/main">
                <a:ext uri="{FF2B5EF4-FFF2-40B4-BE49-F238E27FC236}">
                  <a16:creationId xmlns:a16="http://schemas.microsoft.com/office/drawing/2014/main" id="{A599EAC3-52AC-4800-A897-348D73DBE3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00DC22F5">
        <w:rPr>
          <w:rFonts w:cs="Arial"/>
          <w:sz w:val="24"/>
          <w:szCs w:val="24"/>
          <w:shd w:val="clear" w:color="auto" w:fill="FFFFFF"/>
        </w:rPr>
        <w:t xml:space="preserve"> </w:t>
      </w:r>
    </w:p>
    <w:p w:rsidR="00B9614F" w:rsidRDefault="00B9614F" w:rsidP="004D22D5">
      <w:pPr>
        <w:shd w:val="clear" w:color="auto" w:fill="FFFFFF"/>
        <w:tabs>
          <w:tab w:val="left" w:pos="720"/>
        </w:tabs>
        <w:spacing w:after="0" w:line="240" w:lineRule="auto"/>
        <w:textAlignment w:val="baseline"/>
        <w:rPr>
          <w:rFonts w:eastAsia="Times New Roman" w:cs="Arial"/>
          <w:sz w:val="18"/>
          <w:szCs w:val="18"/>
        </w:rPr>
      </w:pPr>
      <w:r w:rsidRPr="009C29D1">
        <w:rPr>
          <w:rFonts w:eastAsia="Times New Roman" w:cs="Arial"/>
          <w:sz w:val="18"/>
          <w:szCs w:val="18"/>
        </w:rPr>
        <w:t>Source: Texas Workforce Commission</w:t>
      </w:r>
    </w:p>
    <w:p w:rsidR="004D22D5" w:rsidRDefault="004D22D5" w:rsidP="00BC6929">
      <w:pPr>
        <w:shd w:val="clear" w:color="auto" w:fill="FFFFFF"/>
        <w:tabs>
          <w:tab w:val="left" w:pos="720"/>
        </w:tabs>
        <w:spacing w:after="0" w:line="300" w:lineRule="auto"/>
        <w:textAlignment w:val="baseline"/>
        <w:rPr>
          <w:rFonts w:eastAsia="Times New Roman" w:cs="Arial"/>
          <w:sz w:val="18"/>
          <w:szCs w:val="18"/>
        </w:rPr>
      </w:pPr>
    </w:p>
    <w:p w:rsidR="00CE0A58" w:rsidRPr="000F691B" w:rsidRDefault="004D22D5" w:rsidP="00B708A2">
      <w:pPr>
        <w:spacing w:after="0" w:line="300" w:lineRule="auto"/>
        <w:ind w:firstLine="720"/>
        <w:rPr>
          <w:rFonts w:cs="Arial"/>
          <w:sz w:val="16"/>
          <w:szCs w:val="16"/>
          <w:shd w:val="clear" w:color="auto" w:fill="FFFFFF"/>
        </w:rPr>
      </w:pPr>
      <w:r>
        <w:rPr>
          <w:rFonts w:eastAsia="Times New Roman" w:cs="Tahoma"/>
          <w:color w:val="333333"/>
          <w:sz w:val="24"/>
          <w:szCs w:val="24"/>
        </w:rPr>
        <w:t>Table 6 shows that t</w:t>
      </w:r>
      <w:r>
        <w:rPr>
          <w:rFonts w:cs="Arial"/>
          <w:sz w:val="24"/>
          <w:szCs w:val="24"/>
          <w:shd w:val="clear" w:color="auto" w:fill="FFFFFF"/>
        </w:rPr>
        <w:t xml:space="preserve">he highest average weekly manufacturing </w:t>
      </w:r>
      <w:r w:rsidR="00375187">
        <w:rPr>
          <w:rFonts w:cs="Arial"/>
          <w:sz w:val="24"/>
          <w:szCs w:val="24"/>
          <w:shd w:val="clear" w:color="auto" w:fill="FFFFFF"/>
        </w:rPr>
        <w:t xml:space="preserve">wage occurs </w:t>
      </w:r>
      <w:r w:rsidR="00DC22F5">
        <w:rPr>
          <w:rFonts w:cs="Arial"/>
          <w:sz w:val="24"/>
          <w:szCs w:val="24"/>
          <w:shd w:val="clear" w:color="auto" w:fill="FFFFFF"/>
        </w:rPr>
        <w:t xml:space="preserve">among firms that are more capital intensive and employ workers who are trained to perform in more advanced, higher technology sectors.  </w:t>
      </w:r>
      <w:r w:rsidR="00375187">
        <w:rPr>
          <w:rFonts w:cs="Arial"/>
          <w:sz w:val="24"/>
          <w:szCs w:val="24"/>
          <w:shd w:val="clear" w:color="auto" w:fill="FFFFFF"/>
        </w:rPr>
        <w:t xml:space="preserve">For example, </w:t>
      </w:r>
      <w:r w:rsidR="00CE0A58">
        <w:rPr>
          <w:rFonts w:cs="Arial"/>
          <w:sz w:val="24"/>
          <w:szCs w:val="24"/>
          <w:shd w:val="clear" w:color="auto" w:fill="FFFFFF"/>
        </w:rPr>
        <w:t xml:space="preserve">employment in </w:t>
      </w:r>
      <w:r w:rsidR="000B22C1">
        <w:rPr>
          <w:rFonts w:cs="Arial"/>
          <w:sz w:val="24"/>
          <w:szCs w:val="24"/>
          <w:shd w:val="clear" w:color="auto" w:fill="FFFFFF"/>
        </w:rPr>
        <w:t>more capital</w:t>
      </w:r>
      <w:r w:rsidR="00DE4798">
        <w:rPr>
          <w:rFonts w:cs="Arial"/>
          <w:sz w:val="24"/>
          <w:szCs w:val="24"/>
          <w:shd w:val="clear" w:color="auto" w:fill="FFFFFF"/>
        </w:rPr>
        <w:t>-</w:t>
      </w:r>
      <w:r w:rsidR="000B22C1">
        <w:rPr>
          <w:rFonts w:cs="Arial"/>
          <w:sz w:val="24"/>
          <w:szCs w:val="24"/>
          <w:shd w:val="clear" w:color="auto" w:fill="FFFFFF"/>
        </w:rPr>
        <w:t>intensive</w:t>
      </w:r>
      <w:r w:rsidR="00CE0A58">
        <w:rPr>
          <w:rFonts w:cs="Arial"/>
          <w:sz w:val="24"/>
          <w:szCs w:val="24"/>
          <w:shd w:val="clear" w:color="auto" w:fill="FFFFFF"/>
        </w:rPr>
        <w:t xml:space="preserve"> transportation equipment pays a</w:t>
      </w:r>
      <w:r w:rsidR="00375187">
        <w:rPr>
          <w:rFonts w:cs="Arial"/>
          <w:sz w:val="24"/>
          <w:szCs w:val="24"/>
          <w:shd w:val="clear" w:color="auto" w:fill="FFFFFF"/>
        </w:rPr>
        <w:t>n average</w:t>
      </w:r>
      <w:r w:rsidR="00CE0A58">
        <w:rPr>
          <w:rFonts w:cs="Arial"/>
          <w:sz w:val="24"/>
          <w:szCs w:val="24"/>
          <w:shd w:val="clear" w:color="auto" w:fill="FFFFFF"/>
        </w:rPr>
        <w:t xml:space="preserve"> weekly wage that averages 2.6 times the average weekly wage in food processing.  </w:t>
      </w:r>
    </w:p>
    <w:p w:rsidR="00CE0A58" w:rsidRPr="000B22C1" w:rsidRDefault="00627D56" w:rsidP="00193803">
      <w:pPr>
        <w:spacing w:after="0" w:line="240" w:lineRule="auto"/>
        <w:ind w:firstLine="720"/>
        <w:rPr>
          <w:rFonts w:cs="Arial"/>
          <w:sz w:val="16"/>
          <w:szCs w:val="16"/>
          <w:shd w:val="clear" w:color="auto" w:fill="FFFFFF"/>
          <w:vertAlign w:val="subscript"/>
        </w:rPr>
      </w:pPr>
      <w:r>
        <w:rPr>
          <w:rFonts w:cs="Arial"/>
          <w:sz w:val="24"/>
          <w:szCs w:val="24"/>
          <w:shd w:val="clear" w:color="auto" w:fill="FFFFFF"/>
        </w:rPr>
        <w:t xml:space="preserve">  </w:t>
      </w:r>
      <w:r w:rsidR="000F691B">
        <w:rPr>
          <w:rFonts w:cs="Arial"/>
          <w:sz w:val="24"/>
          <w:szCs w:val="24"/>
          <w:shd w:val="clear" w:color="auto" w:fill="FFFFFF"/>
        </w:rPr>
        <w:tab/>
      </w:r>
      <w:r w:rsidR="000F691B">
        <w:rPr>
          <w:rFonts w:cs="Arial"/>
          <w:sz w:val="24"/>
          <w:szCs w:val="24"/>
          <w:shd w:val="clear" w:color="auto" w:fill="FFFFFF"/>
        </w:rPr>
        <w:tab/>
      </w:r>
      <w:r w:rsidR="000F691B">
        <w:rPr>
          <w:rFonts w:cs="Arial"/>
          <w:sz w:val="24"/>
          <w:szCs w:val="24"/>
          <w:shd w:val="clear" w:color="auto" w:fill="FFFFFF"/>
        </w:rPr>
        <w:tab/>
      </w:r>
      <w:r w:rsidR="000F691B">
        <w:rPr>
          <w:rFonts w:cs="Arial"/>
          <w:sz w:val="24"/>
          <w:szCs w:val="24"/>
          <w:shd w:val="clear" w:color="auto" w:fill="FFFFFF"/>
        </w:rPr>
        <w:tab/>
      </w:r>
      <w:r w:rsidR="000F691B">
        <w:rPr>
          <w:rFonts w:cs="Arial"/>
          <w:sz w:val="24"/>
          <w:szCs w:val="24"/>
          <w:shd w:val="clear" w:color="auto" w:fill="FFFFFF"/>
        </w:rPr>
        <w:tab/>
      </w:r>
    </w:p>
    <w:p w:rsidR="006115C3" w:rsidRPr="00F611E7" w:rsidRDefault="006115C3" w:rsidP="00CE0A58">
      <w:pPr>
        <w:spacing w:after="0" w:line="240" w:lineRule="auto"/>
        <w:jc w:val="center"/>
        <w:rPr>
          <w:rFonts w:cs="Arial"/>
          <w:b/>
          <w:sz w:val="24"/>
          <w:szCs w:val="24"/>
          <w:shd w:val="clear" w:color="auto" w:fill="FFFFFF"/>
        </w:rPr>
      </w:pPr>
      <w:r w:rsidRPr="00F611E7">
        <w:rPr>
          <w:rFonts w:cs="Arial"/>
          <w:b/>
          <w:sz w:val="24"/>
          <w:szCs w:val="24"/>
          <w:shd w:val="clear" w:color="auto" w:fill="FFFFFF"/>
        </w:rPr>
        <w:t xml:space="preserve">Table </w:t>
      </w:r>
      <w:r w:rsidR="00DE4798">
        <w:rPr>
          <w:rFonts w:cs="Arial"/>
          <w:b/>
          <w:sz w:val="24"/>
          <w:szCs w:val="24"/>
          <w:shd w:val="clear" w:color="auto" w:fill="FFFFFF"/>
        </w:rPr>
        <w:t>6</w:t>
      </w:r>
    </w:p>
    <w:p w:rsidR="006115C3" w:rsidRPr="00F611E7" w:rsidRDefault="006115C3" w:rsidP="000F691B">
      <w:pPr>
        <w:spacing w:after="0" w:line="240" w:lineRule="auto"/>
        <w:jc w:val="center"/>
        <w:rPr>
          <w:rFonts w:cs="Arial"/>
          <w:b/>
          <w:sz w:val="24"/>
          <w:szCs w:val="24"/>
          <w:shd w:val="clear" w:color="auto" w:fill="FFFFFF"/>
        </w:rPr>
      </w:pPr>
      <w:r w:rsidRPr="00F611E7">
        <w:rPr>
          <w:rFonts w:cs="Arial"/>
          <w:b/>
          <w:sz w:val="24"/>
          <w:szCs w:val="24"/>
          <w:shd w:val="clear" w:color="auto" w:fill="FFFFFF"/>
        </w:rPr>
        <w:t>Manufacturing Employment and Average Weekly Wage in 1</w:t>
      </w:r>
      <w:r w:rsidRPr="00F611E7">
        <w:rPr>
          <w:rFonts w:cs="Arial"/>
          <w:b/>
          <w:sz w:val="24"/>
          <w:szCs w:val="24"/>
          <w:shd w:val="clear" w:color="auto" w:fill="FFFFFF"/>
          <w:vertAlign w:val="superscript"/>
        </w:rPr>
        <w:t>st</w:t>
      </w:r>
      <w:r w:rsidRPr="00F611E7">
        <w:rPr>
          <w:rFonts w:cs="Arial"/>
          <w:b/>
          <w:sz w:val="24"/>
          <w:szCs w:val="24"/>
          <w:shd w:val="clear" w:color="auto" w:fill="FFFFFF"/>
        </w:rPr>
        <w:t xml:space="preserve"> Qtr</w:t>
      </w:r>
      <w:r w:rsidR="00627D56" w:rsidRPr="00F611E7">
        <w:rPr>
          <w:rFonts w:cs="Arial"/>
          <w:b/>
          <w:sz w:val="24"/>
          <w:szCs w:val="24"/>
          <w:shd w:val="clear" w:color="auto" w:fill="FFFFFF"/>
        </w:rPr>
        <w:t>. 2017</w:t>
      </w:r>
    </w:p>
    <w:p w:rsidR="006115C3" w:rsidRPr="006115C3" w:rsidRDefault="006115C3" w:rsidP="006115C3">
      <w:pPr>
        <w:spacing w:after="0" w:line="240" w:lineRule="auto"/>
        <w:jc w:val="center"/>
        <w:rPr>
          <w:rFonts w:cs="Arial"/>
          <w:sz w:val="16"/>
          <w:szCs w:val="16"/>
          <w:shd w:val="clear" w:color="auto" w:fill="FFFFFF"/>
        </w:rPr>
      </w:pPr>
    </w:p>
    <w:tbl>
      <w:tblPr>
        <w:tblStyle w:val="PlainTable1"/>
        <w:tblW w:w="9355" w:type="dxa"/>
        <w:tblLook w:val="04A0" w:firstRow="1" w:lastRow="0" w:firstColumn="1" w:lastColumn="0" w:noHBand="0" w:noVBand="1"/>
      </w:tblPr>
      <w:tblGrid>
        <w:gridCol w:w="4440"/>
        <w:gridCol w:w="2395"/>
        <w:gridCol w:w="2520"/>
      </w:tblGrid>
      <w:tr w:rsidR="006115C3" w:rsidRPr="006115C3" w:rsidTr="000F691B">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4440" w:type="dxa"/>
            <w:noWrap/>
            <w:hideMark/>
          </w:tcPr>
          <w:p w:rsidR="006115C3" w:rsidRPr="000F691B" w:rsidRDefault="006115C3" w:rsidP="000F691B">
            <w:pPr>
              <w:spacing w:before="240" w:line="360" w:lineRule="auto"/>
              <w:jc w:val="center"/>
              <w:rPr>
                <w:rFonts w:ascii="Calibri" w:eastAsia="Times New Roman" w:hAnsi="Calibri" w:cs="Times New Roman"/>
                <w:b w:val="0"/>
                <w:color w:val="000000"/>
              </w:rPr>
            </w:pPr>
            <w:r w:rsidRPr="000F691B">
              <w:rPr>
                <w:rFonts w:ascii="Calibri" w:eastAsia="Times New Roman" w:hAnsi="Calibri" w:cs="Times New Roman"/>
                <w:b w:val="0"/>
                <w:color w:val="000000"/>
              </w:rPr>
              <w:t>Selected Manufacturing Sectors</w:t>
            </w:r>
          </w:p>
        </w:tc>
        <w:tc>
          <w:tcPr>
            <w:tcW w:w="2395" w:type="dxa"/>
            <w:noWrap/>
            <w:hideMark/>
          </w:tcPr>
          <w:p w:rsidR="006115C3" w:rsidRPr="000F691B" w:rsidRDefault="006115C3" w:rsidP="000F691B">
            <w:pPr>
              <w:spacing w:before="240" w:line="36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0F691B">
              <w:rPr>
                <w:rFonts w:ascii="Calibri" w:eastAsia="Times New Roman" w:hAnsi="Calibri" w:cs="Times New Roman"/>
                <w:b w:val="0"/>
                <w:color w:val="000000"/>
              </w:rPr>
              <w:t>Employment</w:t>
            </w:r>
          </w:p>
        </w:tc>
        <w:tc>
          <w:tcPr>
            <w:tcW w:w="2520" w:type="dxa"/>
            <w:noWrap/>
            <w:hideMark/>
          </w:tcPr>
          <w:p w:rsidR="006115C3" w:rsidRPr="000F691B" w:rsidRDefault="006115C3" w:rsidP="000F691B">
            <w:pPr>
              <w:spacing w:before="240" w:line="36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0F691B">
              <w:rPr>
                <w:rFonts w:ascii="Calibri" w:eastAsia="Times New Roman" w:hAnsi="Calibri" w:cs="Times New Roman"/>
                <w:b w:val="0"/>
                <w:color w:val="000000"/>
              </w:rPr>
              <w:t>Avg. Weekly Wage</w:t>
            </w:r>
          </w:p>
        </w:tc>
      </w:tr>
      <w:tr w:rsidR="006115C3" w:rsidRPr="006115C3" w:rsidTr="000F69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440" w:type="dxa"/>
            <w:noWrap/>
            <w:hideMark/>
          </w:tcPr>
          <w:p w:rsidR="006115C3" w:rsidRPr="006115C3" w:rsidRDefault="006115C3" w:rsidP="006115C3">
            <w:pPr>
              <w:spacing w:before="60" w:after="60"/>
              <w:rPr>
                <w:rFonts w:ascii="Calibri" w:eastAsia="Times New Roman" w:hAnsi="Calibri" w:cs="Times New Roman"/>
                <w:b w:val="0"/>
                <w:color w:val="000000"/>
              </w:rPr>
            </w:pPr>
            <w:r w:rsidRPr="006115C3">
              <w:rPr>
                <w:rFonts w:ascii="Calibri" w:eastAsia="Times New Roman" w:hAnsi="Calibri" w:cs="Times New Roman"/>
                <w:b w:val="0"/>
                <w:color w:val="000000"/>
              </w:rPr>
              <w:t>Food manufacturing</w:t>
            </w:r>
          </w:p>
        </w:tc>
        <w:tc>
          <w:tcPr>
            <w:tcW w:w="2395" w:type="dxa"/>
            <w:noWrap/>
            <w:hideMark/>
          </w:tcPr>
          <w:p w:rsidR="006115C3" w:rsidRPr="006115C3" w:rsidRDefault="006115C3" w:rsidP="006115C3">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115C3">
              <w:rPr>
                <w:rFonts w:ascii="Calibri" w:eastAsia="Times New Roman" w:hAnsi="Calibri" w:cs="Times New Roman"/>
                <w:color w:val="000000"/>
              </w:rPr>
              <w:t>3,186</w:t>
            </w:r>
          </w:p>
        </w:tc>
        <w:tc>
          <w:tcPr>
            <w:tcW w:w="2520" w:type="dxa"/>
            <w:noWrap/>
            <w:hideMark/>
          </w:tcPr>
          <w:p w:rsidR="006115C3" w:rsidRPr="006115C3" w:rsidRDefault="006115C3" w:rsidP="006115C3">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115C3">
              <w:rPr>
                <w:rFonts w:ascii="Calibri" w:eastAsia="Times New Roman" w:hAnsi="Calibri" w:cs="Times New Roman"/>
                <w:color w:val="000000"/>
              </w:rPr>
              <w:t xml:space="preserve">   $819</w:t>
            </w:r>
          </w:p>
        </w:tc>
      </w:tr>
      <w:tr w:rsidR="006115C3" w:rsidRPr="006115C3" w:rsidTr="000F691B">
        <w:trPr>
          <w:trHeight w:val="350"/>
        </w:trPr>
        <w:tc>
          <w:tcPr>
            <w:cnfStyle w:val="001000000000" w:firstRow="0" w:lastRow="0" w:firstColumn="1" w:lastColumn="0" w:oddVBand="0" w:evenVBand="0" w:oddHBand="0" w:evenHBand="0" w:firstRowFirstColumn="0" w:firstRowLastColumn="0" w:lastRowFirstColumn="0" w:lastRowLastColumn="0"/>
            <w:tcW w:w="4440" w:type="dxa"/>
            <w:noWrap/>
            <w:hideMark/>
          </w:tcPr>
          <w:p w:rsidR="006115C3" w:rsidRPr="006115C3" w:rsidRDefault="006115C3" w:rsidP="006115C3">
            <w:pPr>
              <w:spacing w:before="60" w:after="60"/>
              <w:rPr>
                <w:rFonts w:ascii="Calibri" w:eastAsia="Times New Roman" w:hAnsi="Calibri" w:cs="Times New Roman"/>
                <w:b w:val="0"/>
                <w:color w:val="000000"/>
              </w:rPr>
            </w:pPr>
            <w:r w:rsidRPr="006115C3">
              <w:rPr>
                <w:rFonts w:ascii="Calibri" w:eastAsia="Times New Roman" w:hAnsi="Calibri" w:cs="Times New Roman"/>
                <w:b w:val="0"/>
                <w:color w:val="000000"/>
              </w:rPr>
              <w:t>Paper manufacturing</w:t>
            </w:r>
          </w:p>
        </w:tc>
        <w:tc>
          <w:tcPr>
            <w:tcW w:w="2395" w:type="dxa"/>
            <w:noWrap/>
            <w:hideMark/>
          </w:tcPr>
          <w:p w:rsidR="006115C3" w:rsidRPr="006115C3" w:rsidRDefault="006115C3" w:rsidP="006115C3">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115C3">
              <w:rPr>
                <w:rFonts w:ascii="Calibri" w:eastAsia="Times New Roman" w:hAnsi="Calibri" w:cs="Times New Roman"/>
                <w:color w:val="000000"/>
              </w:rPr>
              <w:t xml:space="preserve">   620</w:t>
            </w:r>
          </w:p>
        </w:tc>
        <w:tc>
          <w:tcPr>
            <w:tcW w:w="2520" w:type="dxa"/>
            <w:noWrap/>
            <w:hideMark/>
          </w:tcPr>
          <w:p w:rsidR="006115C3" w:rsidRPr="006115C3" w:rsidRDefault="006115C3" w:rsidP="006115C3">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115C3">
              <w:rPr>
                <w:rFonts w:ascii="Calibri" w:eastAsia="Times New Roman" w:hAnsi="Calibri" w:cs="Times New Roman"/>
                <w:color w:val="000000"/>
              </w:rPr>
              <w:t>$1,213</w:t>
            </w:r>
          </w:p>
        </w:tc>
      </w:tr>
      <w:tr w:rsidR="006115C3" w:rsidRPr="006115C3" w:rsidTr="000F691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4440" w:type="dxa"/>
            <w:noWrap/>
            <w:hideMark/>
          </w:tcPr>
          <w:p w:rsidR="006115C3" w:rsidRPr="006115C3" w:rsidRDefault="006115C3" w:rsidP="006115C3">
            <w:pPr>
              <w:spacing w:before="60" w:after="60"/>
              <w:rPr>
                <w:rFonts w:ascii="Calibri" w:eastAsia="Times New Roman" w:hAnsi="Calibri" w:cs="Times New Roman"/>
                <w:b w:val="0"/>
                <w:color w:val="000000"/>
              </w:rPr>
            </w:pPr>
            <w:r w:rsidRPr="006115C3">
              <w:rPr>
                <w:rFonts w:ascii="Calibri" w:eastAsia="Times New Roman" w:hAnsi="Calibri" w:cs="Times New Roman"/>
                <w:b w:val="0"/>
                <w:color w:val="000000"/>
              </w:rPr>
              <w:t xml:space="preserve">Petroleum and coal products </w:t>
            </w:r>
          </w:p>
        </w:tc>
        <w:tc>
          <w:tcPr>
            <w:tcW w:w="2395" w:type="dxa"/>
            <w:noWrap/>
            <w:hideMark/>
          </w:tcPr>
          <w:p w:rsidR="006115C3" w:rsidRPr="006115C3" w:rsidRDefault="006115C3" w:rsidP="006115C3">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115C3">
              <w:rPr>
                <w:rFonts w:ascii="Calibri" w:eastAsia="Times New Roman" w:hAnsi="Calibri" w:cs="Times New Roman"/>
                <w:color w:val="000000"/>
              </w:rPr>
              <w:t xml:space="preserve">     37</w:t>
            </w:r>
          </w:p>
        </w:tc>
        <w:tc>
          <w:tcPr>
            <w:tcW w:w="2520" w:type="dxa"/>
            <w:noWrap/>
            <w:hideMark/>
          </w:tcPr>
          <w:p w:rsidR="006115C3" w:rsidRPr="006115C3" w:rsidRDefault="006115C3" w:rsidP="006115C3">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115C3">
              <w:rPr>
                <w:rFonts w:ascii="Calibri" w:eastAsia="Times New Roman" w:hAnsi="Calibri" w:cs="Times New Roman"/>
                <w:color w:val="000000"/>
              </w:rPr>
              <w:t>$1,228</w:t>
            </w:r>
          </w:p>
        </w:tc>
      </w:tr>
      <w:tr w:rsidR="006115C3" w:rsidRPr="006115C3" w:rsidTr="000F691B">
        <w:trPr>
          <w:trHeight w:val="375"/>
        </w:trPr>
        <w:tc>
          <w:tcPr>
            <w:cnfStyle w:val="001000000000" w:firstRow="0" w:lastRow="0" w:firstColumn="1" w:lastColumn="0" w:oddVBand="0" w:evenVBand="0" w:oddHBand="0" w:evenHBand="0" w:firstRowFirstColumn="0" w:firstRowLastColumn="0" w:lastRowFirstColumn="0" w:lastRowLastColumn="0"/>
            <w:tcW w:w="4440" w:type="dxa"/>
            <w:noWrap/>
            <w:hideMark/>
          </w:tcPr>
          <w:p w:rsidR="006115C3" w:rsidRPr="006115C3" w:rsidRDefault="006115C3" w:rsidP="006115C3">
            <w:pPr>
              <w:spacing w:before="60" w:after="60"/>
              <w:rPr>
                <w:rFonts w:ascii="Calibri" w:eastAsia="Times New Roman" w:hAnsi="Calibri" w:cs="Times New Roman"/>
                <w:b w:val="0"/>
                <w:color w:val="000000"/>
              </w:rPr>
            </w:pPr>
            <w:r w:rsidRPr="006115C3">
              <w:rPr>
                <w:rFonts w:ascii="Calibri" w:eastAsia="Times New Roman" w:hAnsi="Calibri" w:cs="Times New Roman"/>
                <w:b w:val="0"/>
                <w:color w:val="000000"/>
              </w:rPr>
              <w:t>Chemical products</w:t>
            </w:r>
          </w:p>
        </w:tc>
        <w:tc>
          <w:tcPr>
            <w:tcW w:w="2395" w:type="dxa"/>
            <w:noWrap/>
            <w:hideMark/>
          </w:tcPr>
          <w:p w:rsidR="006115C3" w:rsidRPr="006115C3" w:rsidRDefault="006115C3" w:rsidP="006115C3">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115C3">
              <w:rPr>
                <w:rFonts w:ascii="Calibri" w:eastAsia="Times New Roman" w:hAnsi="Calibri" w:cs="Times New Roman"/>
                <w:color w:val="000000"/>
              </w:rPr>
              <w:t>1,206</w:t>
            </w:r>
          </w:p>
        </w:tc>
        <w:tc>
          <w:tcPr>
            <w:tcW w:w="2520" w:type="dxa"/>
            <w:noWrap/>
            <w:hideMark/>
          </w:tcPr>
          <w:p w:rsidR="006115C3" w:rsidRPr="006115C3" w:rsidRDefault="006115C3" w:rsidP="006115C3">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115C3">
              <w:rPr>
                <w:rFonts w:ascii="Calibri" w:eastAsia="Times New Roman" w:hAnsi="Calibri" w:cs="Times New Roman"/>
                <w:color w:val="000000"/>
              </w:rPr>
              <w:t>$1,924</w:t>
            </w:r>
          </w:p>
        </w:tc>
      </w:tr>
      <w:tr w:rsidR="006115C3" w:rsidRPr="006115C3" w:rsidTr="000F691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4440" w:type="dxa"/>
            <w:noWrap/>
            <w:hideMark/>
          </w:tcPr>
          <w:p w:rsidR="006115C3" w:rsidRPr="006115C3" w:rsidRDefault="006115C3" w:rsidP="006115C3">
            <w:pPr>
              <w:spacing w:before="60" w:after="60"/>
              <w:rPr>
                <w:rFonts w:ascii="Calibri" w:eastAsia="Times New Roman" w:hAnsi="Calibri" w:cs="Times New Roman"/>
                <w:b w:val="0"/>
                <w:color w:val="000000"/>
              </w:rPr>
            </w:pPr>
            <w:r w:rsidRPr="006115C3">
              <w:rPr>
                <w:rFonts w:ascii="Calibri" w:eastAsia="Times New Roman" w:hAnsi="Calibri" w:cs="Times New Roman"/>
                <w:b w:val="0"/>
                <w:color w:val="000000"/>
              </w:rPr>
              <w:t>Nonmetallic mineral product manufacturing</w:t>
            </w:r>
          </w:p>
        </w:tc>
        <w:tc>
          <w:tcPr>
            <w:tcW w:w="2395" w:type="dxa"/>
            <w:noWrap/>
            <w:hideMark/>
          </w:tcPr>
          <w:p w:rsidR="006115C3" w:rsidRPr="006115C3" w:rsidRDefault="006115C3" w:rsidP="006115C3">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115C3">
              <w:rPr>
                <w:rFonts w:ascii="Calibri" w:eastAsia="Times New Roman" w:hAnsi="Calibri" w:cs="Times New Roman"/>
                <w:color w:val="000000"/>
              </w:rPr>
              <w:t xml:space="preserve">    998</w:t>
            </w:r>
          </w:p>
        </w:tc>
        <w:tc>
          <w:tcPr>
            <w:tcW w:w="2520" w:type="dxa"/>
            <w:noWrap/>
            <w:hideMark/>
          </w:tcPr>
          <w:p w:rsidR="006115C3" w:rsidRPr="006115C3" w:rsidRDefault="006115C3" w:rsidP="006115C3">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115C3">
              <w:rPr>
                <w:rFonts w:ascii="Calibri" w:eastAsia="Times New Roman" w:hAnsi="Calibri" w:cs="Times New Roman"/>
                <w:color w:val="000000"/>
              </w:rPr>
              <w:t>$1,359</w:t>
            </w:r>
          </w:p>
        </w:tc>
      </w:tr>
      <w:tr w:rsidR="006115C3" w:rsidRPr="006115C3" w:rsidTr="000F691B">
        <w:trPr>
          <w:trHeight w:val="375"/>
        </w:trPr>
        <w:tc>
          <w:tcPr>
            <w:cnfStyle w:val="001000000000" w:firstRow="0" w:lastRow="0" w:firstColumn="1" w:lastColumn="0" w:oddVBand="0" w:evenVBand="0" w:oddHBand="0" w:evenHBand="0" w:firstRowFirstColumn="0" w:firstRowLastColumn="0" w:lastRowFirstColumn="0" w:lastRowLastColumn="0"/>
            <w:tcW w:w="4440" w:type="dxa"/>
            <w:noWrap/>
            <w:hideMark/>
          </w:tcPr>
          <w:p w:rsidR="006115C3" w:rsidRPr="006115C3" w:rsidRDefault="006115C3" w:rsidP="006115C3">
            <w:pPr>
              <w:spacing w:before="60" w:after="60"/>
              <w:rPr>
                <w:rFonts w:ascii="Calibri" w:eastAsia="Times New Roman" w:hAnsi="Calibri" w:cs="Times New Roman"/>
                <w:b w:val="0"/>
                <w:color w:val="000000"/>
              </w:rPr>
            </w:pPr>
            <w:r w:rsidRPr="006115C3">
              <w:rPr>
                <w:rFonts w:ascii="Calibri" w:eastAsia="Times New Roman" w:hAnsi="Calibri" w:cs="Times New Roman"/>
                <w:b w:val="0"/>
                <w:color w:val="000000"/>
              </w:rPr>
              <w:t>Fabricated metal product manufacturing</w:t>
            </w:r>
          </w:p>
        </w:tc>
        <w:tc>
          <w:tcPr>
            <w:tcW w:w="2395" w:type="dxa"/>
            <w:noWrap/>
            <w:hideMark/>
          </w:tcPr>
          <w:p w:rsidR="006115C3" w:rsidRPr="006115C3" w:rsidRDefault="006115C3" w:rsidP="006115C3">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115C3">
              <w:rPr>
                <w:rFonts w:ascii="Calibri" w:eastAsia="Times New Roman" w:hAnsi="Calibri" w:cs="Times New Roman"/>
                <w:color w:val="000000"/>
              </w:rPr>
              <w:t>1,088</w:t>
            </w:r>
          </w:p>
        </w:tc>
        <w:tc>
          <w:tcPr>
            <w:tcW w:w="2520" w:type="dxa"/>
            <w:noWrap/>
            <w:hideMark/>
          </w:tcPr>
          <w:p w:rsidR="006115C3" w:rsidRPr="006115C3" w:rsidRDefault="006115C3" w:rsidP="006115C3">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115C3">
              <w:rPr>
                <w:rFonts w:ascii="Calibri" w:eastAsia="Times New Roman" w:hAnsi="Calibri" w:cs="Times New Roman"/>
                <w:color w:val="000000"/>
              </w:rPr>
              <w:t>$1,128</w:t>
            </w:r>
          </w:p>
        </w:tc>
      </w:tr>
      <w:tr w:rsidR="006115C3" w:rsidRPr="006115C3" w:rsidTr="000F691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4440" w:type="dxa"/>
            <w:noWrap/>
            <w:hideMark/>
          </w:tcPr>
          <w:p w:rsidR="006115C3" w:rsidRPr="006115C3" w:rsidRDefault="006115C3" w:rsidP="006115C3">
            <w:pPr>
              <w:spacing w:before="60" w:after="60"/>
              <w:rPr>
                <w:rFonts w:ascii="Calibri" w:eastAsia="Times New Roman" w:hAnsi="Calibri" w:cs="Times New Roman"/>
                <w:b w:val="0"/>
                <w:color w:val="000000"/>
              </w:rPr>
            </w:pPr>
            <w:r w:rsidRPr="006115C3">
              <w:rPr>
                <w:rFonts w:ascii="Calibri" w:eastAsia="Times New Roman" w:hAnsi="Calibri" w:cs="Times New Roman"/>
                <w:b w:val="0"/>
                <w:color w:val="000000"/>
              </w:rPr>
              <w:t>Electrical equipment and appliance mfg.</w:t>
            </w:r>
          </w:p>
        </w:tc>
        <w:tc>
          <w:tcPr>
            <w:tcW w:w="2395" w:type="dxa"/>
            <w:noWrap/>
            <w:hideMark/>
          </w:tcPr>
          <w:p w:rsidR="006115C3" w:rsidRPr="006115C3" w:rsidRDefault="006115C3" w:rsidP="006115C3">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115C3">
              <w:rPr>
                <w:rFonts w:ascii="Calibri" w:eastAsia="Times New Roman" w:hAnsi="Calibri" w:cs="Times New Roman"/>
                <w:color w:val="000000"/>
              </w:rPr>
              <w:t xml:space="preserve">    121</w:t>
            </w:r>
          </w:p>
        </w:tc>
        <w:tc>
          <w:tcPr>
            <w:tcW w:w="2520" w:type="dxa"/>
            <w:noWrap/>
            <w:hideMark/>
          </w:tcPr>
          <w:p w:rsidR="006115C3" w:rsidRPr="006115C3" w:rsidRDefault="006115C3" w:rsidP="006115C3">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115C3">
              <w:rPr>
                <w:rFonts w:ascii="Calibri" w:eastAsia="Times New Roman" w:hAnsi="Calibri" w:cs="Times New Roman"/>
                <w:color w:val="000000"/>
              </w:rPr>
              <w:t xml:space="preserve">    $953</w:t>
            </w:r>
          </w:p>
        </w:tc>
      </w:tr>
      <w:tr w:rsidR="006115C3" w:rsidRPr="006115C3" w:rsidTr="000F691B">
        <w:trPr>
          <w:trHeight w:val="375"/>
        </w:trPr>
        <w:tc>
          <w:tcPr>
            <w:cnfStyle w:val="001000000000" w:firstRow="0" w:lastRow="0" w:firstColumn="1" w:lastColumn="0" w:oddVBand="0" w:evenVBand="0" w:oddHBand="0" w:evenHBand="0" w:firstRowFirstColumn="0" w:firstRowLastColumn="0" w:lastRowFirstColumn="0" w:lastRowLastColumn="0"/>
            <w:tcW w:w="4440" w:type="dxa"/>
            <w:noWrap/>
            <w:hideMark/>
          </w:tcPr>
          <w:p w:rsidR="006115C3" w:rsidRPr="006115C3" w:rsidRDefault="006115C3" w:rsidP="006115C3">
            <w:pPr>
              <w:spacing w:before="60" w:after="60"/>
              <w:rPr>
                <w:rFonts w:ascii="Calibri" w:eastAsia="Times New Roman" w:hAnsi="Calibri" w:cs="Times New Roman"/>
                <w:b w:val="0"/>
                <w:color w:val="000000"/>
              </w:rPr>
            </w:pPr>
            <w:r w:rsidRPr="006115C3">
              <w:rPr>
                <w:rFonts w:ascii="Calibri" w:eastAsia="Times New Roman" w:hAnsi="Calibri" w:cs="Times New Roman"/>
                <w:b w:val="0"/>
                <w:color w:val="000000"/>
              </w:rPr>
              <w:t>Transportation equipment manufacturing</w:t>
            </w:r>
          </w:p>
        </w:tc>
        <w:tc>
          <w:tcPr>
            <w:tcW w:w="2395" w:type="dxa"/>
            <w:noWrap/>
            <w:hideMark/>
          </w:tcPr>
          <w:p w:rsidR="006115C3" w:rsidRPr="006115C3" w:rsidRDefault="006115C3" w:rsidP="006115C3">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115C3">
              <w:rPr>
                <w:rFonts w:ascii="Calibri" w:eastAsia="Times New Roman" w:hAnsi="Calibri" w:cs="Times New Roman"/>
                <w:color w:val="000000"/>
              </w:rPr>
              <w:t>4,201</w:t>
            </w:r>
          </w:p>
        </w:tc>
        <w:tc>
          <w:tcPr>
            <w:tcW w:w="2520" w:type="dxa"/>
            <w:noWrap/>
            <w:hideMark/>
          </w:tcPr>
          <w:p w:rsidR="006115C3" w:rsidRPr="006115C3" w:rsidRDefault="006115C3" w:rsidP="006115C3">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115C3">
              <w:rPr>
                <w:rFonts w:ascii="Calibri" w:eastAsia="Times New Roman" w:hAnsi="Calibri" w:cs="Times New Roman"/>
                <w:color w:val="000000"/>
              </w:rPr>
              <w:t>$2,148</w:t>
            </w:r>
          </w:p>
        </w:tc>
      </w:tr>
      <w:tr w:rsidR="006115C3" w:rsidRPr="006115C3" w:rsidTr="000F691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4440" w:type="dxa"/>
            <w:noWrap/>
            <w:hideMark/>
          </w:tcPr>
          <w:p w:rsidR="006115C3" w:rsidRPr="006115C3" w:rsidRDefault="006115C3" w:rsidP="006115C3">
            <w:pPr>
              <w:spacing w:before="60" w:after="60"/>
              <w:rPr>
                <w:rFonts w:ascii="Calibri" w:eastAsia="Times New Roman" w:hAnsi="Calibri" w:cs="Times New Roman"/>
                <w:b w:val="0"/>
                <w:color w:val="000000"/>
              </w:rPr>
            </w:pPr>
            <w:r w:rsidRPr="006115C3">
              <w:rPr>
                <w:rFonts w:ascii="Calibri" w:eastAsia="Times New Roman" w:hAnsi="Calibri" w:cs="Times New Roman"/>
                <w:b w:val="0"/>
                <w:color w:val="000000"/>
              </w:rPr>
              <w:t>Furniture and related product manufacturing</w:t>
            </w:r>
          </w:p>
        </w:tc>
        <w:tc>
          <w:tcPr>
            <w:tcW w:w="2395" w:type="dxa"/>
            <w:noWrap/>
            <w:hideMark/>
          </w:tcPr>
          <w:p w:rsidR="006115C3" w:rsidRPr="006115C3" w:rsidRDefault="006115C3" w:rsidP="006115C3">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115C3">
              <w:rPr>
                <w:rFonts w:ascii="Calibri" w:eastAsia="Times New Roman" w:hAnsi="Calibri" w:cs="Times New Roman"/>
                <w:color w:val="000000"/>
              </w:rPr>
              <w:t xml:space="preserve">   238</w:t>
            </w:r>
          </w:p>
        </w:tc>
        <w:tc>
          <w:tcPr>
            <w:tcW w:w="2520" w:type="dxa"/>
            <w:noWrap/>
            <w:hideMark/>
          </w:tcPr>
          <w:p w:rsidR="006115C3" w:rsidRPr="006115C3" w:rsidRDefault="006115C3" w:rsidP="006115C3">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115C3">
              <w:rPr>
                <w:rFonts w:ascii="Calibri" w:eastAsia="Times New Roman" w:hAnsi="Calibri" w:cs="Times New Roman"/>
                <w:color w:val="000000"/>
              </w:rPr>
              <w:t xml:space="preserve">   $756</w:t>
            </w:r>
          </w:p>
        </w:tc>
      </w:tr>
      <w:tr w:rsidR="006115C3" w:rsidRPr="006115C3" w:rsidTr="000F691B">
        <w:trPr>
          <w:trHeight w:val="375"/>
        </w:trPr>
        <w:tc>
          <w:tcPr>
            <w:cnfStyle w:val="001000000000" w:firstRow="0" w:lastRow="0" w:firstColumn="1" w:lastColumn="0" w:oddVBand="0" w:evenVBand="0" w:oddHBand="0" w:evenHBand="0" w:firstRowFirstColumn="0" w:firstRowLastColumn="0" w:lastRowFirstColumn="0" w:lastRowLastColumn="0"/>
            <w:tcW w:w="4440" w:type="dxa"/>
            <w:noWrap/>
            <w:hideMark/>
          </w:tcPr>
          <w:p w:rsidR="006115C3" w:rsidRPr="006115C3" w:rsidRDefault="006115C3" w:rsidP="006115C3">
            <w:pPr>
              <w:spacing w:before="60" w:after="60"/>
              <w:rPr>
                <w:rFonts w:ascii="Calibri" w:eastAsia="Times New Roman" w:hAnsi="Calibri" w:cs="Times New Roman"/>
                <w:b w:val="0"/>
                <w:color w:val="000000"/>
              </w:rPr>
            </w:pPr>
            <w:r w:rsidRPr="006115C3">
              <w:rPr>
                <w:rFonts w:ascii="Calibri" w:eastAsia="Times New Roman" w:hAnsi="Calibri" w:cs="Times New Roman"/>
                <w:b w:val="0"/>
                <w:color w:val="000000"/>
              </w:rPr>
              <w:t>Miscellaneous manufacturing</w:t>
            </w:r>
          </w:p>
        </w:tc>
        <w:tc>
          <w:tcPr>
            <w:tcW w:w="2395" w:type="dxa"/>
            <w:noWrap/>
            <w:hideMark/>
          </w:tcPr>
          <w:p w:rsidR="006115C3" w:rsidRPr="006115C3" w:rsidRDefault="006115C3" w:rsidP="006115C3">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115C3">
              <w:rPr>
                <w:rFonts w:ascii="Calibri" w:eastAsia="Times New Roman" w:hAnsi="Calibri" w:cs="Times New Roman"/>
                <w:color w:val="000000"/>
              </w:rPr>
              <w:t xml:space="preserve">   289</w:t>
            </w:r>
          </w:p>
        </w:tc>
        <w:tc>
          <w:tcPr>
            <w:tcW w:w="2520" w:type="dxa"/>
            <w:noWrap/>
            <w:hideMark/>
          </w:tcPr>
          <w:p w:rsidR="006115C3" w:rsidRPr="006115C3" w:rsidRDefault="006115C3" w:rsidP="006115C3">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115C3">
              <w:rPr>
                <w:rFonts w:ascii="Calibri" w:eastAsia="Times New Roman" w:hAnsi="Calibri" w:cs="Times New Roman"/>
                <w:color w:val="000000"/>
              </w:rPr>
              <w:t xml:space="preserve">   $762</w:t>
            </w:r>
          </w:p>
        </w:tc>
      </w:tr>
    </w:tbl>
    <w:p w:rsidR="006115C3" w:rsidRPr="006115C3" w:rsidRDefault="006115C3" w:rsidP="000B22C1">
      <w:pPr>
        <w:spacing w:after="120" w:line="300" w:lineRule="auto"/>
        <w:rPr>
          <w:rFonts w:cs="Arial"/>
          <w:sz w:val="20"/>
          <w:szCs w:val="20"/>
          <w:shd w:val="clear" w:color="auto" w:fill="FFFFFF"/>
        </w:rPr>
      </w:pPr>
      <w:r w:rsidRPr="006115C3">
        <w:rPr>
          <w:rFonts w:cs="Arial"/>
          <w:sz w:val="20"/>
          <w:szCs w:val="20"/>
          <w:shd w:val="clear" w:color="auto" w:fill="FFFFFF"/>
        </w:rPr>
        <w:t>Source: Texas Workforce Commission</w:t>
      </w:r>
    </w:p>
    <w:p w:rsidR="005B579B" w:rsidRPr="00A845FE" w:rsidRDefault="00DB3A5A" w:rsidP="00DE4798">
      <w:pPr>
        <w:shd w:val="clear" w:color="auto" w:fill="FFFFFF"/>
        <w:tabs>
          <w:tab w:val="left" w:pos="720"/>
        </w:tabs>
        <w:spacing w:before="240" w:after="120" w:line="240" w:lineRule="auto"/>
        <w:textAlignment w:val="baseline"/>
        <w:rPr>
          <w:rFonts w:eastAsia="Times New Roman" w:cs="Tahoma"/>
          <w:b/>
          <w:color w:val="333333"/>
          <w:sz w:val="26"/>
          <w:szCs w:val="26"/>
        </w:rPr>
      </w:pPr>
      <w:r w:rsidRPr="00A845FE">
        <w:rPr>
          <w:rFonts w:eastAsia="Times New Roman" w:cs="Tahoma"/>
          <w:b/>
          <w:color w:val="333333"/>
          <w:sz w:val="26"/>
          <w:szCs w:val="26"/>
        </w:rPr>
        <w:t>Business and Professional Services Outlook</w:t>
      </w:r>
    </w:p>
    <w:p w:rsidR="0065469D" w:rsidRDefault="0016427F" w:rsidP="006F6259">
      <w:pPr>
        <w:spacing w:after="120" w:line="300" w:lineRule="auto"/>
        <w:ind w:firstLine="720"/>
        <w:rPr>
          <w:rFonts w:cs="Arial"/>
          <w:sz w:val="24"/>
          <w:szCs w:val="24"/>
          <w:shd w:val="clear" w:color="auto" w:fill="FFFFFF"/>
        </w:rPr>
      </w:pPr>
      <w:r>
        <w:rPr>
          <w:rFonts w:cs="Arial"/>
          <w:sz w:val="24"/>
          <w:szCs w:val="24"/>
          <w:shd w:val="clear" w:color="auto" w:fill="FFFFFF"/>
        </w:rPr>
        <w:t>Following</w:t>
      </w:r>
      <w:r w:rsidR="000F691B">
        <w:rPr>
          <w:rFonts w:cs="Arial"/>
          <w:sz w:val="24"/>
          <w:szCs w:val="24"/>
          <w:shd w:val="clear" w:color="auto" w:fill="FFFFFF"/>
        </w:rPr>
        <w:t xml:space="preserve"> the Great Recession producers </w:t>
      </w:r>
      <w:r w:rsidR="00CE0A58">
        <w:rPr>
          <w:rFonts w:cs="Arial"/>
          <w:sz w:val="24"/>
          <w:szCs w:val="24"/>
          <w:shd w:val="clear" w:color="auto" w:fill="FFFFFF"/>
        </w:rPr>
        <w:t xml:space="preserve">have </w:t>
      </w:r>
      <w:r w:rsidR="00375187">
        <w:rPr>
          <w:rFonts w:cs="Arial"/>
          <w:sz w:val="24"/>
          <w:szCs w:val="24"/>
          <w:shd w:val="clear" w:color="auto" w:fill="FFFFFF"/>
        </w:rPr>
        <w:t xml:space="preserve">not only </w:t>
      </w:r>
      <w:r w:rsidR="000F691B">
        <w:rPr>
          <w:rFonts w:cs="Arial"/>
          <w:sz w:val="24"/>
          <w:szCs w:val="24"/>
          <w:shd w:val="clear" w:color="auto" w:fill="FFFFFF"/>
        </w:rPr>
        <w:t>managed their production workers more closely</w:t>
      </w:r>
      <w:r w:rsidR="003B1AE6">
        <w:rPr>
          <w:rFonts w:cs="Arial"/>
          <w:sz w:val="24"/>
          <w:szCs w:val="24"/>
          <w:shd w:val="clear" w:color="auto" w:fill="FFFFFF"/>
        </w:rPr>
        <w:t>,</w:t>
      </w:r>
      <w:r w:rsidR="00DC2737">
        <w:rPr>
          <w:rFonts w:cs="Arial"/>
          <w:sz w:val="24"/>
          <w:szCs w:val="24"/>
          <w:shd w:val="clear" w:color="auto" w:fill="FFFFFF"/>
        </w:rPr>
        <w:t xml:space="preserve"> but they </w:t>
      </w:r>
      <w:r w:rsidR="000F691B">
        <w:rPr>
          <w:rFonts w:cs="Arial"/>
          <w:sz w:val="24"/>
          <w:szCs w:val="24"/>
          <w:shd w:val="clear" w:color="auto" w:fill="FFFFFF"/>
        </w:rPr>
        <w:t xml:space="preserve">outsourced </w:t>
      </w:r>
      <w:r w:rsidR="00DC2737">
        <w:rPr>
          <w:rFonts w:cs="Arial"/>
          <w:sz w:val="24"/>
          <w:szCs w:val="24"/>
          <w:shd w:val="clear" w:color="auto" w:fill="FFFFFF"/>
        </w:rPr>
        <w:t>other</w:t>
      </w:r>
      <w:r w:rsidR="003B1AE6">
        <w:rPr>
          <w:rFonts w:cs="Arial"/>
          <w:sz w:val="24"/>
          <w:szCs w:val="24"/>
          <w:shd w:val="clear" w:color="auto" w:fill="FFFFFF"/>
        </w:rPr>
        <w:t xml:space="preserve"> activities, such as legal, accounting, and marketing</w:t>
      </w:r>
      <w:r w:rsidR="000C1A20">
        <w:rPr>
          <w:rFonts w:cs="Arial"/>
          <w:sz w:val="24"/>
          <w:szCs w:val="24"/>
          <w:shd w:val="clear" w:color="auto" w:fill="FFFFFF"/>
        </w:rPr>
        <w:t xml:space="preserve"> functions</w:t>
      </w:r>
      <w:r w:rsidR="003B1AE6">
        <w:rPr>
          <w:rFonts w:cs="Arial"/>
          <w:sz w:val="24"/>
          <w:szCs w:val="24"/>
          <w:shd w:val="clear" w:color="auto" w:fill="FFFFFF"/>
        </w:rPr>
        <w:t xml:space="preserve">, to </w:t>
      </w:r>
      <w:r w:rsidR="0065469D">
        <w:rPr>
          <w:rFonts w:cs="Arial"/>
          <w:sz w:val="24"/>
          <w:szCs w:val="24"/>
          <w:shd w:val="clear" w:color="auto" w:fill="FFFFFF"/>
        </w:rPr>
        <w:t xml:space="preserve">business and professional </w:t>
      </w:r>
      <w:r w:rsidR="000C1A20">
        <w:rPr>
          <w:rFonts w:cs="Arial"/>
          <w:sz w:val="24"/>
          <w:szCs w:val="24"/>
          <w:shd w:val="clear" w:color="auto" w:fill="FFFFFF"/>
        </w:rPr>
        <w:t xml:space="preserve">service </w:t>
      </w:r>
      <w:r w:rsidR="003B1AE6">
        <w:rPr>
          <w:rFonts w:cs="Arial"/>
          <w:sz w:val="24"/>
          <w:szCs w:val="24"/>
          <w:shd w:val="clear" w:color="auto" w:fill="FFFFFF"/>
        </w:rPr>
        <w:t xml:space="preserve">firms </w:t>
      </w:r>
      <w:r w:rsidR="000C1A20">
        <w:rPr>
          <w:rFonts w:cs="Arial"/>
          <w:sz w:val="24"/>
          <w:szCs w:val="24"/>
          <w:shd w:val="clear" w:color="auto" w:fill="FFFFFF"/>
        </w:rPr>
        <w:t xml:space="preserve">that </w:t>
      </w:r>
      <w:r w:rsidR="00DC2737">
        <w:rPr>
          <w:rFonts w:cs="Arial"/>
          <w:sz w:val="24"/>
          <w:szCs w:val="24"/>
          <w:shd w:val="clear" w:color="auto" w:fill="FFFFFF"/>
        </w:rPr>
        <w:t xml:space="preserve">until recently became one of the </w:t>
      </w:r>
      <w:r w:rsidR="000C1A20">
        <w:rPr>
          <w:rFonts w:cs="Arial"/>
          <w:sz w:val="24"/>
          <w:szCs w:val="24"/>
          <w:shd w:val="clear" w:color="auto" w:fill="FFFFFF"/>
        </w:rPr>
        <w:t>fastest growing sectors in the</w:t>
      </w:r>
      <w:r w:rsidR="00DC2737">
        <w:rPr>
          <w:rFonts w:cs="Arial"/>
          <w:sz w:val="24"/>
          <w:szCs w:val="24"/>
          <w:shd w:val="clear" w:color="auto" w:fill="FFFFFF"/>
        </w:rPr>
        <w:t xml:space="preserve"> Waco</w:t>
      </w:r>
      <w:r w:rsidR="000C1A20">
        <w:rPr>
          <w:rFonts w:cs="Arial"/>
          <w:sz w:val="24"/>
          <w:szCs w:val="24"/>
          <w:shd w:val="clear" w:color="auto" w:fill="FFFFFF"/>
        </w:rPr>
        <w:t xml:space="preserve"> economy</w:t>
      </w:r>
      <w:r w:rsidR="00375187">
        <w:rPr>
          <w:rFonts w:cs="Arial"/>
          <w:sz w:val="24"/>
          <w:szCs w:val="24"/>
          <w:shd w:val="clear" w:color="auto" w:fill="FFFFFF"/>
        </w:rPr>
        <w:t xml:space="preserve"> and beyond.</w:t>
      </w:r>
      <w:r w:rsidR="00DC2737">
        <w:rPr>
          <w:rFonts w:cs="Arial"/>
          <w:sz w:val="24"/>
          <w:szCs w:val="24"/>
          <w:shd w:val="clear" w:color="auto" w:fill="FFFFFF"/>
        </w:rPr>
        <w:t xml:space="preserve">  </w:t>
      </w:r>
      <w:r w:rsidR="00375187">
        <w:rPr>
          <w:rFonts w:cs="Arial"/>
          <w:sz w:val="24"/>
          <w:szCs w:val="24"/>
          <w:shd w:val="clear" w:color="auto" w:fill="FFFFFF"/>
        </w:rPr>
        <w:t>Waco j</w:t>
      </w:r>
      <w:r w:rsidR="0083482C">
        <w:rPr>
          <w:rFonts w:cs="Arial"/>
          <w:sz w:val="24"/>
          <w:szCs w:val="24"/>
          <w:shd w:val="clear" w:color="auto" w:fill="FFFFFF"/>
        </w:rPr>
        <w:t>ob growth from 2012 through 2014 was led by the professional and business services sector that added 700 jobs, or 7.6% annually.  However, f</w:t>
      </w:r>
      <w:r w:rsidR="00CE0A58">
        <w:rPr>
          <w:rFonts w:cs="Arial"/>
          <w:sz w:val="24"/>
          <w:szCs w:val="24"/>
          <w:shd w:val="clear" w:color="auto" w:fill="FFFFFF"/>
        </w:rPr>
        <w:t xml:space="preserve">igure 5 shows that </w:t>
      </w:r>
      <w:r w:rsidR="0083482C">
        <w:rPr>
          <w:rFonts w:cs="Arial"/>
          <w:sz w:val="24"/>
          <w:szCs w:val="24"/>
          <w:shd w:val="clear" w:color="auto" w:fill="FFFFFF"/>
        </w:rPr>
        <w:t>job growth</w:t>
      </w:r>
      <w:r w:rsidR="00375187">
        <w:rPr>
          <w:rFonts w:cs="Arial"/>
          <w:sz w:val="24"/>
          <w:szCs w:val="24"/>
          <w:shd w:val="clear" w:color="auto" w:fill="FFFFFF"/>
        </w:rPr>
        <w:t xml:space="preserve"> in the sector</w:t>
      </w:r>
      <w:r w:rsidR="0083482C">
        <w:rPr>
          <w:rFonts w:cs="Arial"/>
          <w:sz w:val="24"/>
          <w:szCs w:val="24"/>
          <w:shd w:val="clear" w:color="auto" w:fill="FFFFFF"/>
        </w:rPr>
        <w:t xml:space="preserve"> leveled off in 2016.   </w:t>
      </w:r>
      <w:r w:rsidR="00375187">
        <w:rPr>
          <w:rFonts w:cs="Arial"/>
          <w:sz w:val="24"/>
          <w:szCs w:val="24"/>
          <w:shd w:val="clear" w:color="auto" w:fill="FFFFFF"/>
        </w:rPr>
        <w:t xml:space="preserve">Waco’s </w:t>
      </w:r>
      <w:r w:rsidR="00CE0A58">
        <w:rPr>
          <w:rFonts w:cs="Arial"/>
          <w:sz w:val="24"/>
          <w:szCs w:val="24"/>
          <w:shd w:val="clear" w:color="auto" w:fill="FFFFFF"/>
        </w:rPr>
        <w:t xml:space="preserve">September’s 2017 </w:t>
      </w:r>
      <w:r w:rsidR="0083482C">
        <w:rPr>
          <w:rFonts w:cs="Arial"/>
          <w:sz w:val="24"/>
          <w:szCs w:val="24"/>
          <w:shd w:val="clear" w:color="auto" w:fill="FFFFFF"/>
        </w:rPr>
        <w:t xml:space="preserve">annual rate of business and professional </w:t>
      </w:r>
      <w:r w:rsidR="000B22C1">
        <w:rPr>
          <w:rFonts w:cs="Arial"/>
          <w:sz w:val="24"/>
          <w:szCs w:val="24"/>
          <w:shd w:val="clear" w:color="auto" w:fill="FFFFFF"/>
        </w:rPr>
        <w:t xml:space="preserve">services </w:t>
      </w:r>
      <w:r w:rsidR="0083482C">
        <w:rPr>
          <w:rFonts w:cs="Arial"/>
          <w:sz w:val="24"/>
          <w:szCs w:val="24"/>
          <w:shd w:val="clear" w:color="auto" w:fill="FFFFFF"/>
        </w:rPr>
        <w:t xml:space="preserve">employment </w:t>
      </w:r>
      <w:r w:rsidR="00CE0A58">
        <w:rPr>
          <w:rFonts w:cs="Arial"/>
          <w:sz w:val="24"/>
          <w:szCs w:val="24"/>
          <w:shd w:val="clear" w:color="auto" w:fill="FFFFFF"/>
        </w:rPr>
        <w:t>dropped by approximately 500 workers compared with September 2016</w:t>
      </w:r>
      <w:r w:rsidR="0083482C">
        <w:rPr>
          <w:rFonts w:cs="Arial"/>
          <w:sz w:val="24"/>
          <w:szCs w:val="24"/>
          <w:shd w:val="clear" w:color="auto" w:fill="FFFFFF"/>
        </w:rPr>
        <w:t xml:space="preserve">.  </w:t>
      </w:r>
      <w:r w:rsidR="009F245E">
        <w:rPr>
          <w:rFonts w:cs="Arial"/>
          <w:sz w:val="24"/>
          <w:szCs w:val="24"/>
          <w:shd w:val="clear" w:color="auto" w:fill="FFFFFF"/>
        </w:rPr>
        <w:t xml:space="preserve">According to the Bureau of </w:t>
      </w:r>
      <w:r w:rsidR="006F6259">
        <w:rPr>
          <w:rFonts w:cs="Arial"/>
          <w:sz w:val="24"/>
          <w:szCs w:val="24"/>
          <w:shd w:val="clear" w:color="auto" w:fill="FFFFFF"/>
        </w:rPr>
        <w:t>L</w:t>
      </w:r>
      <w:r w:rsidR="009F245E">
        <w:rPr>
          <w:rFonts w:cs="Arial"/>
          <w:sz w:val="24"/>
          <w:szCs w:val="24"/>
          <w:shd w:val="clear" w:color="auto" w:fill="FFFFFF"/>
        </w:rPr>
        <w:t>abor Statistics</w:t>
      </w:r>
      <w:r w:rsidR="006F6259">
        <w:rPr>
          <w:rFonts w:cs="Arial"/>
          <w:sz w:val="24"/>
          <w:szCs w:val="24"/>
          <w:shd w:val="clear" w:color="auto" w:fill="FFFFFF"/>
        </w:rPr>
        <w:t>,</w:t>
      </w:r>
      <w:r w:rsidR="009F245E">
        <w:rPr>
          <w:rFonts w:cs="Arial"/>
          <w:sz w:val="24"/>
          <w:szCs w:val="24"/>
          <w:shd w:val="clear" w:color="auto" w:fill="FFFFFF"/>
        </w:rPr>
        <w:t xml:space="preserve"> </w:t>
      </w:r>
      <w:r w:rsidR="006F6259">
        <w:rPr>
          <w:rFonts w:cs="Arial"/>
          <w:sz w:val="24"/>
          <w:szCs w:val="24"/>
          <w:shd w:val="clear" w:color="auto" w:fill="FFFFFF"/>
        </w:rPr>
        <w:t xml:space="preserve">job </w:t>
      </w:r>
      <w:r w:rsidR="009F245E">
        <w:rPr>
          <w:rFonts w:cs="Arial"/>
          <w:sz w:val="24"/>
          <w:szCs w:val="24"/>
          <w:shd w:val="clear" w:color="auto" w:fill="FFFFFF"/>
        </w:rPr>
        <w:t xml:space="preserve">growth in professional and technical occupations will trail only growth in healthcare and other forms of social assistance </w:t>
      </w:r>
      <w:r w:rsidR="006F6259">
        <w:rPr>
          <w:rFonts w:cs="Arial"/>
          <w:sz w:val="24"/>
          <w:szCs w:val="24"/>
          <w:shd w:val="clear" w:color="auto" w:fill="FFFFFF"/>
        </w:rPr>
        <w:t>as the American population ages.  Most of this growth is in computer systems design, especially mobile technologies, and in scientific and technical consulting that includes advice on planning and logistics, implementation of new technologies, and complying with workplace safety, environmental, and employee regulations.  While it is too early to predict future growth in the number of local business and professional service jobs, Waco will face stronger competition from larger business and professional service firms that are headquartered in larger neighboring cities.</w:t>
      </w:r>
    </w:p>
    <w:p w:rsidR="00DB3A5A" w:rsidRPr="00DB3A5A" w:rsidRDefault="00C33042" w:rsidP="00DB3A5A">
      <w:pPr>
        <w:shd w:val="clear" w:color="auto" w:fill="FFFFFF"/>
        <w:tabs>
          <w:tab w:val="left" w:pos="720"/>
        </w:tabs>
        <w:spacing w:after="0" w:line="300" w:lineRule="auto"/>
        <w:textAlignment w:val="baseline"/>
        <w:rPr>
          <w:rFonts w:eastAsia="Times New Roman" w:cs="Tahoma"/>
          <w:color w:val="333333"/>
          <w:sz w:val="24"/>
          <w:szCs w:val="24"/>
        </w:rPr>
      </w:pPr>
      <w:r>
        <w:rPr>
          <w:noProof/>
        </w:rPr>
        <w:drawing>
          <wp:inline distT="0" distB="0" distL="0" distR="0" wp14:anchorId="2B75829E" wp14:editId="5620C19C">
            <wp:extent cx="5848350" cy="2819400"/>
            <wp:effectExtent l="0" t="0" r="0" b="0"/>
            <wp:docPr id="4" name="Chart 4">
              <a:extLst xmlns:a="http://schemas.openxmlformats.org/drawingml/2006/main">
                <a:ext uri="{FF2B5EF4-FFF2-40B4-BE49-F238E27FC236}">
                  <a16:creationId xmlns:a16="http://schemas.microsoft.com/office/drawing/2014/main" id="{87C16BE9-C3A6-4E43-A182-F0E694C9D4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00DB3A5A" w:rsidRPr="00DB3A5A">
        <w:rPr>
          <w:rFonts w:eastAsia="Times New Roman" w:cs="Tahoma"/>
          <w:color w:val="333333"/>
          <w:sz w:val="24"/>
          <w:szCs w:val="24"/>
        </w:rPr>
        <w:tab/>
      </w:r>
    </w:p>
    <w:p w:rsidR="005B579B" w:rsidRPr="006551F4" w:rsidRDefault="006551F4" w:rsidP="006551F4">
      <w:pPr>
        <w:shd w:val="clear" w:color="auto" w:fill="FFFFFF"/>
        <w:tabs>
          <w:tab w:val="left" w:pos="0"/>
        </w:tabs>
        <w:spacing w:after="0" w:line="300" w:lineRule="auto"/>
        <w:textAlignment w:val="baseline"/>
        <w:rPr>
          <w:rFonts w:eastAsia="Times New Roman" w:cs="Tahoma"/>
          <w:color w:val="333333"/>
          <w:sz w:val="20"/>
          <w:szCs w:val="20"/>
        </w:rPr>
      </w:pPr>
      <w:r w:rsidRPr="006551F4">
        <w:rPr>
          <w:rFonts w:eastAsia="Times New Roman" w:cs="Tahoma"/>
          <w:color w:val="333333"/>
          <w:sz w:val="20"/>
          <w:szCs w:val="20"/>
        </w:rPr>
        <w:t>Source: Texas Workforce Commission</w:t>
      </w:r>
    </w:p>
    <w:p w:rsidR="006D4D4C" w:rsidRDefault="00135AE9" w:rsidP="00DE4798">
      <w:pPr>
        <w:shd w:val="clear" w:color="auto" w:fill="FFFFFF"/>
        <w:tabs>
          <w:tab w:val="left" w:pos="720"/>
        </w:tabs>
        <w:spacing w:before="120" w:after="120" w:line="300" w:lineRule="auto"/>
        <w:textAlignment w:val="baseline"/>
        <w:rPr>
          <w:rFonts w:eastAsia="Times New Roman" w:cs="Tahoma"/>
          <w:b/>
          <w:color w:val="333333"/>
          <w:sz w:val="26"/>
          <w:szCs w:val="26"/>
        </w:rPr>
      </w:pPr>
      <w:r>
        <w:rPr>
          <w:rFonts w:eastAsia="Times New Roman" w:cs="Tahoma"/>
          <w:b/>
          <w:color w:val="333333"/>
          <w:sz w:val="26"/>
          <w:szCs w:val="26"/>
        </w:rPr>
        <w:t>The Education and Healthcare Outlook</w:t>
      </w:r>
    </w:p>
    <w:p w:rsidR="00632F0C" w:rsidRDefault="00DE4798" w:rsidP="00632F0C">
      <w:pPr>
        <w:spacing w:after="0" w:line="336" w:lineRule="atLeast"/>
        <w:textAlignment w:val="baseline"/>
        <w:rPr>
          <w:rFonts w:eastAsia="Times New Roman" w:cs="Times New Roman"/>
          <w:color w:val="000000"/>
          <w:sz w:val="24"/>
          <w:szCs w:val="24"/>
        </w:rPr>
      </w:pPr>
      <w:r>
        <w:rPr>
          <w:rFonts w:eastAsia="Times New Roman" w:cs="Tahoma"/>
          <w:b/>
          <w:color w:val="333333"/>
          <w:sz w:val="26"/>
          <w:szCs w:val="26"/>
        </w:rPr>
        <w:tab/>
      </w:r>
      <w:r w:rsidRPr="00DE4798">
        <w:rPr>
          <w:rFonts w:eastAsia="Times New Roman" w:cs="Tahoma"/>
          <w:color w:val="333333"/>
          <w:sz w:val="24"/>
          <w:szCs w:val="24"/>
        </w:rPr>
        <w:t xml:space="preserve">The </w:t>
      </w:r>
      <w:r w:rsidR="00974652">
        <w:rPr>
          <w:rFonts w:eastAsia="Times New Roman" w:cs="Tahoma"/>
          <w:color w:val="333333"/>
          <w:sz w:val="24"/>
          <w:szCs w:val="24"/>
        </w:rPr>
        <w:t xml:space="preserve">Waco </w:t>
      </w:r>
      <w:r>
        <w:rPr>
          <w:rFonts w:eastAsia="Times New Roman" w:cs="Tahoma"/>
          <w:color w:val="333333"/>
          <w:sz w:val="24"/>
          <w:szCs w:val="24"/>
        </w:rPr>
        <w:t xml:space="preserve">education and healthcare sector accounts for about 17 percent of </w:t>
      </w:r>
      <w:r w:rsidR="00A42CF8">
        <w:rPr>
          <w:rFonts w:eastAsia="Times New Roman" w:cs="Tahoma"/>
          <w:color w:val="333333"/>
          <w:sz w:val="24"/>
          <w:szCs w:val="24"/>
        </w:rPr>
        <w:t xml:space="preserve">all nonfarm employment that amounts to about 20,000 payroll jobs. </w:t>
      </w:r>
      <w:r w:rsidR="005F57D3">
        <w:rPr>
          <w:rFonts w:eastAsia="Times New Roman" w:cs="Tahoma"/>
          <w:color w:val="333333"/>
          <w:sz w:val="24"/>
          <w:szCs w:val="24"/>
        </w:rPr>
        <w:t xml:space="preserve"> </w:t>
      </w:r>
      <w:r w:rsidR="00383179">
        <w:rPr>
          <w:rFonts w:eastAsia="Times New Roman" w:cs="Tahoma"/>
          <w:color w:val="333333"/>
          <w:sz w:val="24"/>
          <w:szCs w:val="24"/>
        </w:rPr>
        <w:t xml:space="preserve">Figure 6 shows that </w:t>
      </w:r>
      <w:r w:rsidR="00974652">
        <w:rPr>
          <w:rFonts w:eastAsia="Times New Roman" w:cs="Tahoma"/>
          <w:color w:val="333333"/>
          <w:sz w:val="24"/>
          <w:szCs w:val="24"/>
        </w:rPr>
        <w:t>while remaining positive</w:t>
      </w:r>
      <w:r w:rsidR="00B708A2">
        <w:rPr>
          <w:rFonts w:eastAsia="Times New Roman" w:cs="Tahoma"/>
          <w:color w:val="333333"/>
          <w:sz w:val="24"/>
          <w:szCs w:val="24"/>
        </w:rPr>
        <w:t>,</w:t>
      </w:r>
      <w:r w:rsidR="00974652">
        <w:rPr>
          <w:rFonts w:eastAsia="Times New Roman" w:cs="Tahoma"/>
          <w:color w:val="333333"/>
          <w:sz w:val="24"/>
          <w:szCs w:val="24"/>
        </w:rPr>
        <w:t xml:space="preserve"> the </w:t>
      </w:r>
      <w:r w:rsidR="00383179">
        <w:rPr>
          <w:rFonts w:eastAsia="Times New Roman" w:cs="Tahoma"/>
          <w:color w:val="333333"/>
          <w:sz w:val="24"/>
          <w:szCs w:val="24"/>
        </w:rPr>
        <w:t xml:space="preserve">growth </w:t>
      </w:r>
      <w:r w:rsidR="00974652">
        <w:rPr>
          <w:rFonts w:eastAsia="Times New Roman" w:cs="Tahoma"/>
          <w:color w:val="333333"/>
          <w:sz w:val="24"/>
          <w:szCs w:val="24"/>
        </w:rPr>
        <w:t xml:space="preserve">rate </w:t>
      </w:r>
      <w:r w:rsidR="00383179">
        <w:rPr>
          <w:rFonts w:eastAsia="Times New Roman" w:cs="Tahoma"/>
          <w:color w:val="333333"/>
          <w:sz w:val="24"/>
          <w:szCs w:val="24"/>
        </w:rPr>
        <w:t xml:space="preserve">in total employment </w:t>
      </w:r>
      <w:r w:rsidR="00974652">
        <w:rPr>
          <w:rFonts w:eastAsia="Times New Roman" w:cs="Tahoma"/>
          <w:color w:val="333333"/>
          <w:sz w:val="24"/>
          <w:szCs w:val="24"/>
        </w:rPr>
        <w:t xml:space="preserve">in the sector </w:t>
      </w:r>
      <w:r w:rsidR="00383179">
        <w:rPr>
          <w:rFonts w:eastAsia="Times New Roman" w:cs="Tahoma"/>
          <w:color w:val="333333"/>
          <w:sz w:val="24"/>
          <w:szCs w:val="24"/>
        </w:rPr>
        <w:t xml:space="preserve">decreased during the summer months of 2017 compared with the previous two years.  </w:t>
      </w:r>
      <w:r w:rsidR="00632F0C">
        <w:rPr>
          <w:rFonts w:eastAsia="Times New Roman" w:cs="Times New Roman"/>
          <w:color w:val="000000"/>
          <w:sz w:val="24"/>
          <w:szCs w:val="24"/>
        </w:rPr>
        <w:tab/>
      </w:r>
      <w:r w:rsidR="00383179">
        <w:rPr>
          <w:rFonts w:eastAsia="Times New Roman" w:cs="Times New Roman"/>
          <w:color w:val="000000"/>
          <w:sz w:val="24"/>
          <w:szCs w:val="24"/>
        </w:rPr>
        <w:t xml:space="preserve"> </w:t>
      </w:r>
    </w:p>
    <w:p w:rsidR="00896408" w:rsidRPr="00896408" w:rsidRDefault="00135AE9" w:rsidP="00896408">
      <w:pPr>
        <w:spacing w:after="0" w:line="336" w:lineRule="atLeast"/>
        <w:textAlignment w:val="baseline"/>
        <w:rPr>
          <w:rFonts w:ascii="Georgia" w:eastAsia="Times New Roman" w:hAnsi="Georgia" w:cs="Times New Roman"/>
          <w:color w:val="000000"/>
          <w:sz w:val="16"/>
          <w:szCs w:val="16"/>
        </w:rPr>
      </w:pPr>
      <w:r>
        <w:rPr>
          <w:rFonts w:eastAsia="Times New Roman" w:cs="Times New Roman"/>
          <w:color w:val="000000"/>
          <w:sz w:val="24"/>
          <w:szCs w:val="24"/>
        </w:rPr>
        <w:t xml:space="preserve"> </w:t>
      </w:r>
    </w:p>
    <w:p w:rsidR="00DE4798" w:rsidRDefault="00135AE9" w:rsidP="00DE4798">
      <w:pPr>
        <w:shd w:val="clear" w:color="auto" w:fill="FFFFFF"/>
        <w:tabs>
          <w:tab w:val="left" w:pos="720"/>
        </w:tabs>
        <w:spacing w:after="0" w:line="300" w:lineRule="auto"/>
        <w:textAlignment w:val="baseline"/>
        <w:rPr>
          <w:rFonts w:eastAsia="Times New Roman" w:cs="Tahoma"/>
          <w:color w:val="333333"/>
          <w:sz w:val="24"/>
          <w:szCs w:val="24"/>
        </w:rPr>
      </w:pPr>
      <w:r>
        <w:rPr>
          <w:noProof/>
        </w:rPr>
        <w:drawing>
          <wp:inline distT="0" distB="0" distL="0" distR="0" wp14:anchorId="35D95C0A" wp14:editId="6EACC58B">
            <wp:extent cx="5819775" cy="3209925"/>
            <wp:effectExtent l="0" t="0" r="9525" b="9525"/>
            <wp:docPr id="3" name="Chart 3">
              <a:extLst xmlns:a="http://schemas.openxmlformats.org/drawingml/2006/main">
                <a:ext uri="{FF2B5EF4-FFF2-40B4-BE49-F238E27FC236}">
                  <a16:creationId xmlns:a16="http://schemas.microsoft.com/office/drawing/2014/main" id="{CA939D79-6BC2-41D9-9CF3-A8A3660FA1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DE4798" w:rsidRPr="00896408" w:rsidRDefault="00896408" w:rsidP="00C34950">
      <w:pPr>
        <w:shd w:val="clear" w:color="auto" w:fill="FFFFFF"/>
        <w:tabs>
          <w:tab w:val="left" w:pos="720"/>
        </w:tabs>
        <w:spacing w:after="0" w:line="240" w:lineRule="auto"/>
        <w:textAlignment w:val="baseline"/>
        <w:rPr>
          <w:rFonts w:eastAsia="Times New Roman" w:cs="Tahoma"/>
          <w:color w:val="333333"/>
          <w:sz w:val="20"/>
          <w:szCs w:val="20"/>
        </w:rPr>
      </w:pPr>
      <w:r w:rsidRPr="00896408">
        <w:rPr>
          <w:rFonts w:eastAsia="Times New Roman" w:cs="Tahoma"/>
          <w:color w:val="333333"/>
          <w:sz w:val="20"/>
          <w:szCs w:val="20"/>
        </w:rPr>
        <w:t>Source:  Texas Workforce Commission</w:t>
      </w:r>
      <w:r w:rsidR="00DE4798" w:rsidRPr="00896408">
        <w:rPr>
          <w:rFonts w:eastAsia="Times New Roman" w:cs="Tahoma"/>
          <w:color w:val="333333"/>
          <w:sz w:val="20"/>
          <w:szCs w:val="20"/>
        </w:rPr>
        <w:tab/>
      </w:r>
    </w:p>
    <w:p w:rsidR="00383179" w:rsidRDefault="00383179" w:rsidP="004D22D5">
      <w:pPr>
        <w:spacing w:before="120" w:after="0" w:line="336" w:lineRule="atLeast"/>
        <w:ind w:firstLine="720"/>
        <w:textAlignment w:val="baseline"/>
        <w:rPr>
          <w:rFonts w:eastAsia="Times New Roman" w:cs="Times New Roman"/>
          <w:color w:val="000000"/>
          <w:sz w:val="24"/>
          <w:szCs w:val="24"/>
        </w:rPr>
      </w:pPr>
      <w:r>
        <w:rPr>
          <w:rFonts w:eastAsia="Times New Roman" w:cs="Tahoma"/>
          <w:color w:val="333333"/>
          <w:sz w:val="24"/>
          <w:szCs w:val="24"/>
        </w:rPr>
        <w:t>The largest employer in this sector is Baylor University that in Fall 2017 served a record level of 17,059 students that includes 14,316 undergraduate and 2,743 graduate/professional students.</w:t>
      </w:r>
      <w:r>
        <w:rPr>
          <w:rFonts w:ascii="Georgia" w:eastAsia="Times New Roman" w:hAnsi="Georgia" w:cs="Times New Roman"/>
          <w:color w:val="000000"/>
          <w:sz w:val="24"/>
          <w:szCs w:val="24"/>
        </w:rPr>
        <w:t xml:space="preserve"> </w:t>
      </w:r>
      <w:r>
        <w:rPr>
          <w:rFonts w:eastAsia="Times New Roman" w:cs="Times New Roman"/>
          <w:color w:val="000000"/>
          <w:sz w:val="24"/>
          <w:szCs w:val="24"/>
        </w:rPr>
        <w:t xml:space="preserve"> In the healthcare industry the Waco metro area is served by two major hospitals, Scott &amp; White and Providence, that along with surrounding clinics are part of </w:t>
      </w:r>
      <w:r w:rsidR="00974652">
        <w:rPr>
          <w:rFonts w:eastAsia="Times New Roman" w:cs="Times New Roman"/>
          <w:color w:val="000000"/>
          <w:sz w:val="24"/>
          <w:szCs w:val="24"/>
        </w:rPr>
        <w:t xml:space="preserve">an </w:t>
      </w:r>
      <w:r>
        <w:rPr>
          <w:rFonts w:eastAsia="Times New Roman" w:cs="Times New Roman"/>
          <w:color w:val="000000"/>
          <w:sz w:val="24"/>
          <w:szCs w:val="24"/>
        </w:rPr>
        <w:t xml:space="preserve">integrated </w:t>
      </w:r>
      <w:r w:rsidR="00974652">
        <w:rPr>
          <w:rFonts w:eastAsia="Times New Roman" w:cs="Times New Roman"/>
          <w:color w:val="000000"/>
          <w:sz w:val="24"/>
          <w:szCs w:val="24"/>
        </w:rPr>
        <w:t xml:space="preserve">local </w:t>
      </w:r>
      <w:r>
        <w:rPr>
          <w:rFonts w:eastAsia="Times New Roman" w:cs="Times New Roman"/>
          <w:color w:val="000000"/>
          <w:sz w:val="24"/>
          <w:szCs w:val="24"/>
        </w:rPr>
        <w:t xml:space="preserve">healthcare </w:t>
      </w:r>
      <w:r w:rsidR="00974652">
        <w:rPr>
          <w:rFonts w:eastAsia="Times New Roman" w:cs="Times New Roman"/>
          <w:color w:val="000000"/>
          <w:sz w:val="24"/>
          <w:szCs w:val="24"/>
        </w:rPr>
        <w:t>providers</w:t>
      </w:r>
      <w:r>
        <w:rPr>
          <w:rFonts w:eastAsia="Times New Roman" w:cs="Times New Roman"/>
          <w:color w:val="000000"/>
          <w:sz w:val="24"/>
          <w:szCs w:val="24"/>
        </w:rPr>
        <w:t xml:space="preserve">.  Hospitals offer highly specialized medical services, but the BLS predicts that job growth will expand not only among healthcare specialists but also among providers of personal care and social assistance services as the population ages.   </w:t>
      </w:r>
    </w:p>
    <w:p w:rsidR="00A845FE" w:rsidRPr="007F1F5B" w:rsidRDefault="007F1F5B" w:rsidP="007F1F5B">
      <w:pPr>
        <w:shd w:val="clear" w:color="auto" w:fill="FFFFFF"/>
        <w:tabs>
          <w:tab w:val="left" w:pos="720"/>
        </w:tabs>
        <w:spacing w:before="120" w:after="120" w:line="300" w:lineRule="auto"/>
        <w:textAlignment w:val="baseline"/>
        <w:rPr>
          <w:rFonts w:eastAsia="Times New Roman" w:cs="Arial"/>
          <w:b/>
          <w:color w:val="555555"/>
          <w:sz w:val="26"/>
          <w:szCs w:val="26"/>
        </w:rPr>
      </w:pPr>
      <w:r>
        <w:rPr>
          <w:rFonts w:eastAsia="Times New Roman" w:cs="Arial"/>
          <w:b/>
          <w:color w:val="555555"/>
          <w:sz w:val="26"/>
          <w:szCs w:val="26"/>
        </w:rPr>
        <w:t>The Leisure and Hospitality Outlook</w:t>
      </w:r>
    </w:p>
    <w:p w:rsidR="00B36BC2" w:rsidRPr="00185FF2" w:rsidRDefault="007F1F5B" w:rsidP="00185FF2">
      <w:pPr>
        <w:shd w:val="clear" w:color="auto" w:fill="FFFFFF"/>
        <w:tabs>
          <w:tab w:val="left" w:pos="720"/>
        </w:tabs>
        <w:spacing w:after="120" w:line="300" w:lineRule="auto"/>
        <w:textAlignment w:val="baseline"/>
      </w:pPr>
      <w:r>
        <w:tab/>
        <w:t xml:space="preserve">During the 12 months </w:t>
      </w:r>
      <w:r w:rsidR="00B36BC2">
        <w:t xml:space="preserve">of </w:t>
      </w:r>
      <w:r>
        <w:t xml:space="preserve">2016, </w:t>
      </w:r>
      <w:r w:rsidR="00771C3A">
        <w:t xml:space="preserve">average employment in </w:t>
      </w:r>
      <w:r w:rsidR="00B36BC2">
        <w:t>Waco</w:t>
      </w:r>
      <w:r w:rsidR="00771C3A">
        <w:t>’s</w:t>
      </w:r>
      <w:r>
        <w:t xml:space="preserve"> leisure and hospitality sector increased by 1.8 percent </w:t>
      </w:r>
      <w:r w:rsidR="00771C3A">
        <w:t>reaching a maximum in May of 12 thousand</w:t>
      </w:r>
      <w:r>
        <w:t xml:space="preserve"> payroll jobs.</w:t>
      </w:r>
      <w:r w:rsidR="00771C3A">
        <w:t xml:space="preserve"> </w:t>
      </w:r>
      <w:r>
        <w:t xml:space="preserve"> Some of the growth in the sector is attributed to the large number of visitors attracted by the Home and Garden Television series “Fixer Upper</w:t>
      </w:r>
      <w:r w:rsidR="00771C3A">
        <w:t>.</w:t>
      </w:r>
      <w:r>
        <w:t>”</w:t>
      </w:r>
      <w:r w:rsidR="00771C3A">
        <w:t xml:space="preserve">  However,</w:t>
      </w:r>
      <w:r w:rsidR="00BE3228">
        <w:t xml:space="preserve"> the growth of Baylor University student population</w:t>
      </w:r>
      <w:r w:rsidR="00185FF2">
        <w:t>, the new McL</w:t>
      </w:r>
      <w:r w:rsidR="009B13C6">
        <w:t>ane</w:t>
      </w:r>
      <w:r w:rsidR="00185FF2">
        <w:t xml:space="preserve"> football stadium </w:t>
      </w:r>
      <w:r w:rsidR="00BE3228">
        <w:t xml:space="preserve">and the development of cultural arts and museum attractions, such as the </w:t>
      </w:r>
      <w:r w:rsidR="00BE3228" w:rsidRPr="00185FF2">
        <w:rPr>
          <w:rFonts w:cs="Helvetica"/>
          <w:color w:val="5A5A5A"/>
          <w:sz w:val="24"/>
          <w:szCs w:val="24"/>
          <w:lang w:val="en"/>
        </w:rPr>
        <w:t xml:space="preserve">Waco Mammoth National Monument that had a record-breaking spring with thousands of people coming </w:t>
      </w:r>
      <w:r w:rsidR="00185FF2" w:rsidRPr="00185FF2">
        <w:rPr>
          <w:rFonts w:cs="Helvetica"/>
          <w:color w:val="5A5A5A"/>
          <w:sz w:val="24"/>
          <w:szCs w:val="24"/>
          <w:lang w:val="en"/>
        </w:rPr>
        <w:t xml:space="preserve">daily for public tours </w:t>
      </w:r>
      <w:r w:rsidR="00BE3228" w:rsidRPr="00185FF2">
        <w:rPr>
          <w:rFonts w:cs="Helvetica"/>
          <w:color w:val="5A5A5A"/>
          <w:sz w:val="24"/>
          <w:szCs w:val="24"/>
          <w:lang w:val="en"/>
        </w:rPr>
        <w:t>even as it reached capacity for end-of-the-</w:t>
      </w:r>
      <w:r w:rsidR="00185FF2">
        <w:rPr>
          <w:rFonts w:cs="Helvetica"/>
          <w:color w:val="5A5A5A"/>
          <w:sz w:val="24"/>
          <w:szCs w:val="24"/>
          <w:lang w:val="en"/>
        </w:rPr>
        <w:t>school-</w:t>
      </w:r>
      <w:r w:rsidR="00BE3228" w:rsidRPr="00185FF2">
        <w:rPr>
          <w:rFonts w:cs="Helvetica"/>
          <w:color w:val="5A5A5A"/>
          <w:sz w:val="24"/>
          <w:szCs w:val="24"/>
          <w:lang w:val="en"/>
        </w:rPr>
        <w:t>year field trips</w:t>
      </w:r>
      <w:r w:rsidR="00185FF2" w:rsidRPr="00185FF2">
        <w:rPr>
          <w:rFonts w:cs="Helvetica"/>
          <w:color w:val="5A5A5A"/>
          <w:sz w:val="24"/>
          <w:szCs w:val="24"/>
          <w:lang w:val="en"/>
        </w:rPr>
        <w:t>.</w:t>
      </w:r>
    </w:p>
    <w:p w:rsidR="00B36BC2" w:rsidRDefault="00B36BC2" w:rsidP="00777264">
      <w:pPr>
        <w:shd w:val="clear" w:color="auto" w:fill="FFFFFF"/>
        <w:tabs>
          <w:tab w:val="left" w:pos="720"/>
        </w:tabs>
        <w:spacing w:after="0" w:line="300" w:lineRule="auto"/>
        <w:textAlignment w:val="baseline"/>
      </w:pPr>
      <w:r>
        <w:rPr>
          <w:noProof/>
        </w:rPr>
        <w:drawing>
          <wp:inline distT="0" distB="0" distL="0" distR="0" wp14:anchorId="7D7425A0" wp14:editId="4F03C8D0">
            <wp:extent cx="5895975" cy="2847975"/>
            <wp:effectExtent l="0" t="0" r="9525" b="9525"/>
            <wp:docPr id="8" name="Chart 8">
              <a:extLst xmlns:a="http://schemas.openxmlformats.org/drawingml/2006/main">
                <a:ext uri="{FF2B5EF4-FFF2-40B4-BE49-F238E27FC236}">
                  <a16:creationId xmlns:a16="http://schemas.microsoft.com/office/drawing/2014/main" id="{F326E963-FE7F-4134-A180-F95E739EAD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B22385" w:rsidRDefault="007F1F5B" w:rsidP="00B22385">
      <w:pPr>
        <w:shd w:val="clear" w:color="auto" w:fill="FFFFFF"/>
        <w:tabs>
          <w:tab w:val="left" w:pos="720"/>
        </w:tabs>
        <w:spacing w:after="120" w:line="300" w:lineRule="auto"/>
        <w:textAlignment w:val="baseline"/>
        <w:rPr>
          <w:rFonts w:eastAsia="Times New Roman" w:cs="Tahoma"/>
          <w:color w:val="333333"/>
          <w:sz w:val="20"/>
          <w:szCs w:val="20"/>
        </w:rPr>
      </w:pPr>
      <w:r>
        <w:t xml:space="preserve"> </w:t>
      </w:r>
      <w:r w:rsidR="00B22385" w:rsidRPr="00896408">
        <w:rPr>
          <w:rFonts w:eastAsia="Times New Roman" w:cs="Tahoma"/>
          <w:color w:val="333333"/>
          <w:sz w:val="20"/>
          <w:szCs w:val="20"/>
        </w:rPr>
        <w:t>Source:  Texas Workforce Commission</w:t>
      </w:r>
    </w:p>
    <w:p w:rsidR="000B33C6" w:rsidRDefault="00B22385" w:rsidP="000B33C6">
      <w:pPr>
        <w:shd w:val="clear" w:color="auto" w:fill="FFFFFF"/>
        <w:tabs>
          <w:tab w:val="left" w:pos="720"/>
        </w:tabs>
        <w:spacing w:after="0" w:line="300" w:lineRule="auto"/>
        <w:textAlignment w:val="baseline"/>
      </w:pPr>
      <w:r>
        <w:tab/>
        <w:t xml:space="preserve">Waco leisure and hospitality employment in decreased in </w:t>
      </w:r>
      <w:r w:rsidR="0014306A">
        <w:t xml:space="preserve">2017 </w:t>
      </w:r>
      <w:r>
        <w:t xml:space="preserve">August and September </w:t>
      </w:r>
      <w:r w:rsidR="0014306A">
        <w:t xml:space="preserve">compared with the level and growth rate achieved during the same months in 2016.  It’s too early to predict </w:t>
      </w:r>
      <w:r w:rsidR="00FA638B">
        <w:t>if</w:t>
      </w:r>
      <w:r w:rsidR="0014306A">
        <w:t xml:space="preserve"> the monthly pace achieved in 2016 will resurface next year, but the recent announcement that </w:t>
      </w:r>
      <w:r w:rsidR="00B708A2">
        <w:t xml:space="preserve">new episodes of “Fixer Upper” </w:t>
      </w:r>
      <w:r w:rsidR="00B708A2">
        <w:t xml:space="preserve">will end this year </w:t>
      </w:r>
      <w:r w:rsidR="0014306A">
        <w:t xml:space="preserve">has given rise to concern regarding Waco’s ability to sustain the dramatic pace of growth in the hospitality industry that it has achieved recently. </w:t>
      </w:r>
      <w:r w:rsidR="00FA638B">
        <w:t xml:space="preserve">  On the positive side the development of Waco as a designation for cultural arts exhibits and performances will help </w:t>
      </w:r>
      <w:r w:rsidR="00B708A2">
        <w:t xml:space="preserve">to support growth </w:t>
      </w:r>
      <w:r w:rsidR="00FA638B">
        <w:t xml:space="preserve">in visitor demand </w:t>
      </w:r>
      <w:r w:rsidR="00B708A2">
        <w:t>that will</w:t>
      </w:r>
      <w:r w:rsidR="00FA638B">
        <w:t xml:space="preserve"> emerge in the future.</w:t>
      </w:r>
      <w:r w:rsidR="0014306A">
        <w:t xml:space="preserve">    </w:t>
      </w:r>
    </w:p>
    <w:p w:rsidR="000B33C6" w:rsidRDefault="000B33C6" w:rsidP="00482702">
      <w:pPr>
        <w:shd w:val="clear" w:color="auto" w:fill="FFFFFF"/>
        <w:tabs>
          <w:tab w:val="left" w:pos="720"/>
        </w:tabs>
        <w:spacing w:before="120" w:after="120" w:line="300" w:lineRule="auto"/>
        <w:textAlignment w:val="baseline"/>
        <w:rPr>
          <w:b/>
          <w:sz w:val="26"/>
          <w:szCs w:val="26"/>
        </w:rPr>
      </w:pPr>
      <w:r w:rsidRPr="000B33C6">
        <w:rPr>
          <w:b/>
          <w:sz w:val="26"/>
          <w:szCs w:val="26"/>
        </w:rPr>
        <w:t>Home Sales and Construction Outlook</w:t>
      </w:r>
    </w:p>
    <w:p w:rsidR="001F387A" w:rsidRDefault="00366345" w:rsidP="001F387A">
      <w:pPr>
        <w:shd w:val="clear" w:color="auto" w:fill="FFFFFF"/>
        <w:tabs>
          <w:tab w:val="left" w:pos="720"/>
        </w:tabs>
        <w:spacing w:after="0" w:line="300" w:lineRule="auto"/>
        <w:textAlignment w:val="baseline"/>
        <w:rPr>
          <w:sz w:val="24"/>
          <w:szCs w:val="24"/>
        </w:rPr>
      </w:pPr>
      <w:r>
        <w:rPr>
          <w:b/>
          <w:sz w:val="26"/>
          <w:szCs w:val="26"/>
        </w:rPr>
        <w:tab/>
      </w:r>
      <w:r w:rsidR="00BE531B" w:rsidRPr="00BE531B">
        <w:rPr>
          <w:sz w:val="24"/>
          <w:szCs w:val="24"/>
        </w:rPr>
        <w:t>According to the</w:t>
      </w:r>
      <w:r w:rsidR="00BE531B">
        <w:rPr>
          <w:b/>
          <w:sz w:val="26"/>
          <w:szCs w:val="26"/>
        </w:rPr>
        <w:t xml:space="preserve"> </w:t>
      </w:r>
      <w:r w:rsidR="00BE531B">
        <w:rPr>
          <w:sz w:val="24"/>
          <w:szCs w:val="24"/>
        </w:rPr>
        <w:t xml:space="preserve">Texas Workforce Commission, </w:t>
      </w:r>
      <w:r>
        <w:rPr>
          <w:sz w:val="24"/>
          <w:szCs w:val="24"/>
        </w:rPr>
        <w:t xml:space="preserve">September 2017 </w:t>
      </w:r>
      <w:r w:rsidR="00BE531B">
        <w:rPr>
          <w:sz w:val="24"/>
          <w:szCs w:val="24"/>
        </w:rPr>
        <w:t>jobs in the Waco MSA decreased from 119,500 to 118,600, a yearly decrease of 0.75% compared with September 2016.  This marks a distinct chang</w:t>
      </w:r>
      <w:r w:rsidR="007F57C5">
        <w:rPr>
          <w:sz w:val="24"/>
          <w:szCs w:val="24"/>
        </w:rPr>
        <w:t>e from the positive average 1.5</w:t>
      </w:r>
      <w:r w:rsidR="00BE531B">
        <w:rPr>
          <w:sz w:val="24"/>
          <w:szCs w:val="24"/>
        </w:rPr>
        <w:t xml:space="preserve">% annual rate of growth in employment over the past five years.  Despite the reduction in employment the September 2017 unemployment rate fell to 3.8% from 4.2% in September 2016.  Clearly, the labor force decreased over the past year which raises the question of how this might affect population growth and the demand for housing. </w:t>
      </w:r>
    </w:p>
    <w:p w:rsidR="00AF507C" w:rsidRDefault="001F387A" w:rsidP="00482702">
      <w:pPr>
        <w:shd w:val="clear" w:color="auto" w:fill="FFFFFF"/>
        <w:tabs>
          <w:tab w:val="left" w:pos="720"/>
        </w:tabs>
        <w:spacing w:after="120" w:line="300" w:lineRule="auto"/>
        <w:textAlignment w:val="baseline"/>
        <w:rPr>
          <w:sz w:val="24"/>
          <w:szCs w:val="24"/>
        </w:rPr>
      </w:pPr>
      <w:r>
        <w:rPr>
          <w:sz w:val="24"/>
          <w:szCs w:val="24"/>
        </w:rPr>
        <w:tab/>
      </w:r>
      <w:r w:rsidR="00BE531B">
        <w:rPr>
          <w:sz w:val="24"/>
          <w:szCs w:val="24"/>
        </w:rPr>
        <w:t xml:space="preserve"> </w:t>
      </w:r>
      <w:r>
        <w:rPr>
          <w:sz w:val="24"/>
          <w:szCs w:val="24"/>
        </w:rPr>
        <w:t xml:space="preserve">Figure 8 shows that despite seasonal changes the 12-month moving average of the number of single family homes sold in the Waco MSA have remained relatively stable over the last 21 months. </w:t>
      </w:r>
      <w:r w:rsidR="00406AB1">
        <w:rPr>
          <w:sz w:val="24"/>
          <w:szCs w:val="24"/>
        </w:rPr>
        <w:t xml:space="preserve"> September 2017 sales volume for single-unit housing increased 4.13% from 242 to 253 transactions compared with September 2016.  </w:t>
      </w:r>
      <w:r>
        <w:rPr>
          <w:sz w:val="24"/>
          <w:szCs w:val="24"/>
        </w:rPr>
        <w:t xml:space="preserve">However, over the same period the </w:t>
      </w:r>
      <w:r w:rsidR="00AF507C">
        <w:rPr>
          <w:sz w:val="24"/>
          <w:szCs w:val="24"/>
        </w:rPr>
        <w:t>year-to-date</w:t>
      </w:r>
      <w:r>
        <w:rPr>
          <w:sz w:val="24"/>
          <w:szCs w:val="24"/>
        </w:rPr>
        <w:t xml:space="preserve"> average selling price has increased </w:t>
      </w:r>
      <w:r w:rsidR="00AF507C">
        <w:rPr>
          <w:sz w:val="24"/>
          <w:szCs w:val="24"/>
        </w:rPr>
        <w:t>22.03% from $182,2</w:t>
      </w:r>
      <w:r w:rsidR="00406AB1">
        <w:rPr>
          <w:sz w:val="24"/>
          <w:szCs w:val="24"/>
        </w:rPr>
        <w:t xml:space="preserve">44 to $222,389.  The average price per square foot in September 2017 increased to $103 compared to $87 per square foot in September 2016.  Year-to-date total </w:t>
      </w:r>
      <w:r w:rsidR="00AF507C">
        <w:rPr>
          <w:sz w:val="24"/>
          <w:szCs w:val="24"/>
        </w:rPr>
        <w:t xml:space="preserve">dollar </w:t>
      </w:r>
      <w:r w:rsidR="00406AB1">
        <w:rPr>
          <w:sz w:val="24"/>
          <w:szCs w:val="24"/>
        </w:rPr>
        <w:t xml:space="preserve">sales </w:t>
      </w:r>
      <w:r w:rsidR="00AF507C">
        <w:rPr>
          <w:sz w:val="24"/>
          <w:szCs w:val="24"/>
        </w:rPr>
        <w:t>volume increased 27% from $44.1 million to $56.04 million.</w:t>
      </w:r>
      <w:r>
        <w:rPr>
          <w:sz w:val="24"/>
          <w:szCs w:val="24"/>
        </w:rPr>
        <w:t xml:space="preserve"> </w:t>
      </w:r>
      <w:r w:rsidR="00AF507C">
        <w:rPr>
          <w:sz w:val="24"/>
          <w:szCs w:val="24"/>
        </w:rPr>
        <w:t xml:space="preserve"> </w:t>
      </w:r>
      <w:r w:rsidR="002E6F25">
        <w:rPr>
          <w:sz w:val="24"/>
          <w:szCs w:val="24"/>
        </w:rPr>
        <w:t>September 2017 monthly</w:t>
      </w:r>
      <w:r w:rsidR="00406AB1">
        <w:rPr>
          <w:sz w:val="24"/>
          <w:szCs w:val="24"/>
        </w:rPr>
        <w:t xml:space="preserve"> inventory for single-unit housing rose </w:t>
      </w:r>
      <w:r w:rsidR="002E6F25">
        <w:rPr>
          <w:sz w:val="24"/>
          <w:szCs w:val="24"/>
        </w:rPr>
        <w:t xml:space="preserve">compared with September 2016 rose </w:t>
      </w:r>
      <w:r w:rsidR="00406AB1">
        <w:rPr>
          <w:sz w:val="24"/>
          <w:szCs w:val="24"/>
        </w:rPr>
        <w:t xml:space="preserve">slightly from </w:t>
      </w:r>
      <w:r w:rsidR="004E51F1">
        <w:rPr>
          <w:sz w:val="24"/>
          <w:szCs w:val="24"/>
        </w:rPr>
        <w:t xml:space="preserve">a </w:t>
      </w:r>
      <w:r w:rsidR="00406AB1">
        <w:rPr>
          <w:sz w:val="24"/>
          <w:szCs w:val="24"/>
        </w:rPr>
        <w:t>2.9</w:t>
      </w:r>
      <w:r w:rsidR="002E6F25">
        <w:rPr>
          <w:sz w:val="24"/>
          <w:szCs w:val="24"/>
        </w:rPr>
        <w:t xml:space="preserve"> </w:t>
      </w:r>
      <w:r w:rsidR="007F57C5">
        <w:rPr>
          <w:sz w:val="24"/>
          <w:szCs w:val="24"/>
        </w:rPr>
        <w:t>to 3.1-</w:t>
      </w:r>
      <w:r w:rsidR="00BA7E61">
        <w:rPr>
          <w:sz w:val="24"/>
          <w:szCs w:val="24"/>
        </w:rPr>
        <w:t>month</w:t>
      </w:r>
      <w:r w:rsidR="002E6F25">
        <w:rPr>
          <w:sz w:val="24"/>
          <w:szCs w:val="24"/>
        </w:rPr>
        <w:t xml:space="preserve"> supply</w:t>
      </w:r>
      <w:r w:rsidR="00406AB1">
        <w:rPr>
          <w:sz w:val="24"/>
          <w:szCs w:val="24"/>
        </w:rPr>
        <w:t xml:space="preserve"> and the number of days to sell increased from 83 to 87</w:t>
      </w:r>
      <w:r w:rsidR="002E6F25">
        <w:rPr>
          <w:sz w:val="24"/>
          <w:szCs w:val="24"/>
        </w:rPr>
        <w:t xml:space="preserve">. </w:t>
      </w:r>
      <w:r w:rsidR="00AF507C">
        <w:rPr>
          <w:sz w:val="24"/>
          <w:szCs w:val="24"/>
        </w:rPr>
        <w:t xml:space="preserve">  Th</w:t>
      </w:r>
      <w:r w:rsidR="002E6F25">
        <w:rPr>
          <w:sz w:val="24"/>
          <w:szCs w:val="24"/>
        </w:rPr>
        <w:t>e persistent</w:t>
      </w:r>
      <w:r w:rsidR="00AF507C">
        <w:rPr>
          <w:sz w:val="24"/>
          <w:szCs w:val="24"/>
        </w:rPr>
        <w:t xml:space="preserve"> relatively low inventory reflects a seller’s market with pent-up demand that </w:t>
      </w:r>
      <w:r w:rsidR="002E6F25">
        <w:rPr>
          <w:sz w:val="24"/>
          <w:szCs w:val="24"/>
        </w:rPr>
        <w:t>is projected to continue to put upward pressure on the</w:t>
      </w:r>
      <w:r w:rsidR="00AF507C">
        <w:rPr>
          <w:sz w:val="24"/>
          <w:szCs w:val="24"/>
        </w:rPr>
        <w:t xml:space="preserve"> average home </w:t>
      </w:r>
      <w:r w:rsidR="002E6F25">
        <w:rPr>
          <w:sz w:val="24"/>
          <w:szCs w:val="24"/>
        </w:rPr>
        <w:t xml:space="preserve">selling </w:t>
      </w:r>
      <w:r w:rsidR="00AF507C">
        <w:rPr>
          <w:sz w:val="24"/>
          <w:szCs w:val="24"/>
        </w:rPr>
        <w:t xml:space="preserve">prices </w:t>
      </w:r>
      <w:r w:rsidR="002E6F25">
        <w:rPr>
          <w:sz w:val="24"/>
          <w:szCs w:val="24"/>
        </w:rPr>
        <w:t>over the next year</w:t>
      </w:r>
      <w:r w:rsidR="00AF507C">
        <w:rPr>
          <w:sz w:val="24"/>
          <w:szCs w:val="24"/>
        </w:rPr>
        <w:t xml:space="preserve">.  </w:t>
      </w:r>
    </w:p>
    <w:p w:rsidR="00DD1044" w:rsidRDefault="00DD1044" w:rsidP="007271A3">
      <w:pPr>
        <w:shd w:val="clear" w:color="auto" w:fill="FFFFFF"/>
        <w:tabs>
          <w:tab w:val="left" w:pos="720"/>
        </w:tabs>
        <w:spacing w:after="0" w:line="300" w:lineRule="auto"/>
        <w:textAlignment w:val="baseline"/>
        <w:rPr>
          <w:sz w:val="24"/>
          <w:szCs w:val="24"/>
        </w:rPr>
      </w:pPr>
      <w:r>
        <w:rPr>
          <w:noProof/>
        </w:rPr>
        <w:drawing>
          <wp:inline distT="0" distB="0" distL="0" distR="0" wp14:anchorId="1DAA15C1" wp14:editId="21113ECB">
            <wp:extent cx="5800725" cy="3086100"/>
            <wp:effectExtent l="0" t="0" r="9525" b="0"/>
            <wp:docPr id="10" name="Chart 10">
              <a:extLst xmlns:a="http://schemas.openxmlformats.org/drawingml/2006/main">
                <a:ext uri="{FF2B5EF4-FFF2-40B4-BE49-F238E27FC236}">
                  <a16:creationId xmlns:a16="http://schemas.microsoft.com/office/drawing/2014/main" id="{D8A3B545-A64D-4821-886B-AF1E900478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D6908" w:rsidRDefault="00FD6908" w:rsidP="001F387A">
      <w:pPr>
        <w:shd w:val="clear" w:color="auto" w:fill="FFFFFF"/>
        <w:tabs>
          <w:tab w:val="left" w:pos="720"/>
        </w:tabs>
        <w:spacing w:after="0" w:line="240" w:lineRule="auto"/>
        <w:textAlignment w:val="baseline"/>
        <w:rPr>
          <w:sz w:val="20"/>
          <w:szCs w:val="20"/>
        </w:rPr>
      </w:pPr>
      <w:r w:rsidRPr="00DD1044">
        <w:rPr>
          <w:sz w:val="20"/>
          <w:szCs w:val="20"/>
        </w:rPr>
        <w:t>Source: Texas A&amp;M Real Estate Center</w:t>
      </w:r>
    </w:p>
    <w:p w:rsidR="00FE1804" w:rsidRPr="00FE1804" w:rsidRDefault="00FE1804" w:rsidP="00FE1804">
      <w:pPr>
        <w:shd w:val="clear" w:color="auto" w:fill="FFFFFF"/>
        <w:tabs>
          <w:tab w:val="left" w:pos="720"/>
        </w:tabs>
        <w:spacing w:after="0" w:line="240" w:lineRule="auto"/>
        <w:jc w:val="center"/>
        <w:textAlignment w:val="baseline"/>
        <w:rPr>
          <w:b/>
        </w:rPr>
      </w:pPr>
      <w:r w:rsidRPr="00FE1804">
        <w:rPr>
          <w:b/>
        </w:rPr>
        <w:t>Table 7</w:t>
      </w:r>
    </w:p>
    <w:p w:rsidR="00FE1804" w:rsidRDefault="00FE1804" w:rsidP="00FE1804">
      <w:pPr>
        <w:shd w:val="clear" w:color="auto" w:fill="FFFFFF"/>
        <w:tabs>
          <w:tab w:val="left" w:pos="720"/>
        </w:tabs>
        <w:spacing w:after="0" w:line="240" w:lineRule="auto"/>
        <w:jc w:val="center"/>
        <w:textAlignment w:val="baseline"/>
        <w:rPr>
          <w:b/>
        </w:rPr>
      </w:pPr>
      <w:r w:rsidRPr="00FE1804">
        <w:rPr>
          <w:b/>
        </w:rPr>
        <w:t>Waco MSA Single Family Housing Performance</w:t>
      </w:r>
    </w:p>
    <w:p w:rsidR="005E1809" w:rsidRPr="005E1809" w:rsidRDefault="005E1809" w:rsidP="00FE1804">
      <w:pPr>
        <w:shd w:val="clear" w:color="auto" w:fill="FFFFFF"/>
        <w:tabs>
          <w:tab w:val="left" w:pos="720"/>
        </w:tabs>
        <w:spacing w:after="0" w:line="240" w:lineRule="auto"/>
        <w:jc w:val="center"/>
        <w:textAlignment w:val="baseline"/>
        <w:rPr>
          <w:b/>
          <w:sz w:val="16"/>
          <w:szCs w:val="16"/>
        </w:rPr>
      </w:pPr>
    </w:p>
    <w:tbl>
      <w:tblPr>
        <w:tblStyle w:val="PlainTable1"/>
        <w:tblW w:w="9260" w:type="dxa"/>
        <w:tblLook w:val="04A0" w:firstRow="1" w:lastRow="0" w:firstColumn="1" w:lastColumn="0" w:noHBand="0" w:noVBand="1"/>
      </w:tblPr>
      <w:tblGrid>
        <w:gridCol w:w="960"/>
        <w:gridCol w:w="960"/>
        <w:gridCol w:w="1850"/>
        <w:gridCol w:w="1620"/>
        <w:gridCol w:w="1530"/>
        <w:gridCol w:w="1170"/>
        <w:gridCol w:w="1170"/>
      </w:tblGrid>
      <w:tr w:rsidR="00FE1804" w:rsidRPr="00FE1804" w:rsidTr="00FE1804">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60" w:type="dxa"/>
            <w:noWrap/>
            <w:hideMark/>
          </w:tcPr>
          <w:p w:rsidR="00FE1804" w:rsidRPr="00FE1804" w:rsidRDefault="00FE1804" w:rsidP="00FE1804">
            <w:pPr>
              <w:rPr>
                <w:rFonts w:ascii="Calibri" w:eastAsia="Times New Roman" w:hAnsi="Calibri" w:cs="Times New Roman"/>
              </w:rPr>
            </w:pPr>
            <w:r w:rsidRPr="00FE1804">
              <w:rPr>
                <w:rFonts w:ascii="Calibri" w:eastAsia="Times New Roman" w:hAnsi="Calibri" w:cs="Times New Roman"/>
              </w:rPr>
              <w:t> </w:t>
            </w:r>
          </w:p>
        </w:tc>
        <w:tc>
          <w:tcPr>
            <w:tcW w:w="960" w:type="dxa"/>
            <w:noWrap/>
            <w:hideMark/>
          </w:tcPr>
          <w:p w:rsidR="00FE1804" w:rsidRPr="00FE1804" w:rsidRDefault="00FE1804" w:rsidP="00FE180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FE1804">
              <w:rPr>
                <w:rFonts w:ascii="Calibri" w:eastAsia="Times New Roman" w:hAnsi="Calibri" w:cs="Times New Roman"/>
              </w:rPr>
              <w:t> </w:t>
            </w:r>
          </w:p>
        </w:tc>
        <w:tc>
          <w:tcPr>
            <w:tcW w:w="1850" w:type="dxa"/>
            <w:noWrap/>
          </w:tcPr>
          <w:p w:rsidR="00FE1804" w:rsidRPr="00FE1804" w:rsidRDefault="00FE1804" w:rsidP="00FE180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620" w:type="dxa"/>
            <w:noWrap/>
          </w:tcPr>
          <w:p w:rsidR="00FE1804" w:rsidRPr="00FE1804" w:rsidRDefault="00FE1804" w:rsidP="00FE180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530" w:type="dxa"/>
            <w:noWrap/>
          </w:tcPr>
          <w:p w:rsidR="00FE1804" w:rsidRPr="00FE1804" w:rsidRDefault="00FE1804" w:rsidP="00FE180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170" w:type="dxa"/>
            <w:noWrap/>
            <w:hideMark/>
          </w:tcPr>
          <w:p w:rsidR="00FE1804" w:rsidRPr="00FE1804" w:rsidRDefault="00FE1804" w:rsidP="00FE180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FE1804">
              <w:rPr>
                <w:rFonts w:ascii="Calibri" w:eastAsia="Times New Roman" w:hAnsi="Calibri" w:cs="Times New Roman"/>
              </w:rPr>
              <w:t> </w:t>
            </w:r>
          </w:p>
        </w:tc>
        <w:tc>
          <w:tcPr>
            <w:tcW w:w="1170" w:type="dxa"/>
            <w:noWrap/>
            <w:hideMark/>
          </w:tcPr>
          <w:p w:rsidR="00FE1804" w:rsidRPr="00FE1804" w:rsidRDefault="00FE1804" w:rsidP="00FE180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FE1804">
              <w:rPr>
                <w:rFonts w:ascii="Calibri" w:eastAsia="Times New Roman" w:hAnsi="Calibri" w:cs="Times New Roman"/>
              </w:rPr>
              <w:t> </w:t>
            </w:r>
          </w:p>
        </w:tc>
      </w:tr>
      <w:tr w:rsidR="00FE1804" w:rsidRPr="00FE1804" w:rsidTr="00FE180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vMerge w:val="restart"/>
            <w:hideMark/>
          </w:tcPr>
          <w:p w:rsidR="00FE1804" w:rsidRPr="00FE1804" w:rsidRDefault="00FE1804" w:rsidP="00FE1804">
            <w:pPr>
              <w:jc w:val="center"/>
              <w:rPr>
                <w:rFonts w:ascii="Calibri" w:eastAsia="Times New Roman" w:hAnsi="Calibri" w:cs="Times New Roman"/>
              </w:rPr>
            </w:pPr>
            <w:r w:rsidRPr="00FE1804">
              <w:rPr>
                <w:rFonts w:ascii="Calibri" w:eastAsia="Times New Roman" w:hAnsi="Calibri" w:cs="Times New Roman"/>
              </w:rPr>
              <w:t>Date</w:t>
            </w:r>
          </w:p>
        </w:tc>
        <w:tc>
          <w:tcPr>
            <w:tcW w:w="960" w:type="dxa"/>
            <w:vMerge w:val="restart"/>
            <w:hideMark/>
          </w:tcPr>
          <w:p w:rsidR="00FE1804" w:rsidRPr="00FE1804" w:rsidRDefault="00FE1804" w:rsidP="00FE18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rPr>
            </w:pPr>
            <w:r w:rsidRPr="00FE1804">
              <w:rPr>
                <w:rFonts w:ascii="Calibri" w:eastAsia="Times New Roman" w:hAnsi="Calibri" w:cs="Times New Roman"/>
                <w:b/>
                <w:bCs/>
              </w:rPr>
              <w:t>Sales</w:t>
            </w:r>
          </w:p>
        </w:tc>
        <w:tc>
          <w:tcPr>
            <w:tcW w:w="1850" w:type="dxa"/>
            <w:hideMark/>
          </w:tcPr>
          <w:p w:rsidR="00FE1804" w:rsidRPr="00FE1804" w:rsidRDefault="00FE1804" w:rsidP="00FE18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rPr>
            </w:pPr>
            <w:r w:rsidRPr="00FE1804">
              <w:rPr>
                <w:rFonts w:ascii="Calibri" w:eastAsia="Times New Roman" w:hAnsi="Calibri" w:cs="Times New Roman"/>
                <w:b/>
                <w:bCs/>
              </w:rPr>
              <w:t>Dollar</w:t>
            </w:r>
          </w:p>
        </w:tc>
        <w:tc>
          <w:tcPr>
            <w:tcW w:w="1620" w:type="dxa"/>
            <w:hideMark/>
          </w:tcPr>
          <w:p w:rsidR="00FE1804" w:rsidRPr="00FE1804" w:rsidRDefault="00FE1804" w:rsidP="00FE18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rPr>
            </w:pPr>
            <w:r w:rsidRPr="00FE1804">
              <w:rPr>
                <w:rFonts w:ascii="Calibri" w:eastAsia="Times New Roman" w:hAnsi="Calibri" w:cs="Times New Roman"/>
                <w:b/>
                <w:bCs/>
              </w:rPr>
              <w:t>Average</w:t>
            </w:r>
          </w:p>
        </w:tc>
        <w:tc>
          <w:tcPr>
            <w:tcW w:w="1530" w:type="dxa"/>
            <w:hideMark/>
          </w:tcPr>
          <w:p w:rsidR="00FE1804" w:rsidRPr="00FE1804" w:rsidRDefault="00FE1804" w:rsidP="00FE18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rPr>
            </w:pPr>
            <w:r w:rsidRPr="00FE1804">
              <w:rPr>
                <w:rFonts w:ascii="Calibri" w:eastAsia="Times New Roman" w:hAnsi="Calibri" w:cs="Times New Roman"/>
                <w:b/>
                <w:bCs/>
              </w:rPr>
              <w:t>Median</w:t>
            </w:r>
          </w:p>
        </w:tc>
        <w:tc>
          <w:tcPr>
            <w:tcW w:w="1170" w:type="dxa"/>
            <w:hideMark/>
          </w:tcPr>
          <w:p w:rsidR="00FE1804" w:rsidRPr="00FE1804" w:rsidRDefault="00FE1804" w:rsidP="00FE18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rPr>
            </w:pPr>
            <w:r w:rsidRPr="00FE1804">
              <w:rPr>
                <w:rFonts w:ascii="Calibri" w:eastAsia="Times New Roman" w:hAnsi="Calibri" w:cs="Times New Roman"/>
                <w:b/>
                <w:bCs/>
              </w:rPr>
              <w:t>Total</w:t>
            </w:r>
          </w:p>
        </w:tc>
        <w:tc>
          <w:tcPr>
            <w:tcW w:w="1170" w:type="dxa"/>
            <w:hideMark/>
          </w:tcPr>
          <w:p w:rsidR="00FE1804" w:rsidRPr="00FE1804" w:rsidRDefault="00FE1804" w:rsidP="00FE18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rPr>
            </w:pPr>
            <w:r w:rsidRPr="00FE1804">
              <w:rPr>
                <w:rFonts w:ascii="Calibri" w:eastAsia="Times New Roman" w:hAnsi="Calibri" w:cs="Times New Roman"/>
                <w:b/>
                <w:bCs/>
              </w:rPr>
              <w:t>Months</w:t>
            </w:r>
          </w:p>
        </w:tc>
      </w:tr>
      <w:tr w:rsidR="00FE1804" w:rsidRPr="00FE1804" w:rsidTr="00FE1804">
        <w:trPr>
          <w:trHeight w:val="268"/>
        </w:trPr>
        <w:tc>
          <w:tcPr>
            <w:cnfStyle w:val="001000000000" w:firstRow="0" w:lastRow="0" w:firstColumn="1" w:lastColumn="0" w:oddVBand="0" w:evenVBand="0" w:oddHBand="0" w:evenHBand="0" w:firstRowFirstColumn="0" w:firstRowLastColumn="0" w:lastRowFirstColumn="0" w:lastRowLastColumn="0"/>
            <w:tcW w:w="960" w:type="dxa"/>
            <w:vMerge/>
            <w:hideMark/>
          </w:tcPr>
          <w:p w:rsidR="00FE1804" w:rsidRPr="00FE1804" w:rsidRDefault="00FE1804" w:rsidP="00FE1804">
            <w:pPr>
              <w:rPr>
                <w:rFonts w:ascii="Calibri" w:eastAsia="Times New Roman" w:hAnsi="Calibri" w:cs="Times New Roman"/>
              </w:rPr>
            </w:pPr>
          </w:p>
        </w:tc>
        <w:tc>
          <w:tcPr>
            <w:tcW w:w="960" w:type="dxa"/>
            <w:vMerge/>
            <w:hideMark/>
          </w:tcPr>
          <w:p w:rsidR="00FE1804" w:rsidRPr="00FE1804" w:rsidRDefault="00FE1804" w:rsidP="00FE180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1850" w:type="dxa"/>
            <w:hideMark/>
          </w:tcPr>
          <w:p w:rsidR="00FE1804" w:rsidRPr="00FE1804" w:rsidRDefault="00FE1804" w:rsidP="00FE18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r w:rsidRPr="00FE1804">
              <w:rPr>
                <w:rFonts w:ascii="Calibri" w:eastAsia="Times New Roman" w:hAnsi="Calibri" w:cs="Times New Roman"/>
                <w:b/>
                <w:bCs/>
              </w:rPr>
              <w:t>Volume</w:t>
            </w:r>
          </w:p>
        </w:tc>
        <w:tc>
          <w:tcPr>
            <w:tcW w:w="1620" w:type="dxa"/>
            <w:hideMark/>
          </w:tcPr>
          <w:p w:rsidR="00FE1804" w:rsidRPr="00FE1804" w:rsidRDefault="00FE1804" w:rsidP="00FE18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r w:rsidRPr="00FE1804">
              <w:rPr>
                <w:rFonts w:ascii="Calibri" w:eastAsia="Times New Roman" w:hAnsi="Calibri" w:cs="Times New Roman"/>
                <w:b/>
                <w:bCs/>
              </w:rPr>
              <w:t>Price</w:t>
            </w:r>
          </w:p>
        </w:tc>
        <w:tc>
          <w:tcPr>
            <w:tcW w:w="1530" w:type="dxa"/>
            <w:hideMark/>
          </w:tcPr>
          <w:p w:rsidR="00FE1804" w:rsidRPr="00FE1804" w:rsidRDefault="00FE1804" w:rsidP="00FE18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r w:rsidRPr="00FE1804">
              <w:rPr>
                <w:rFonts w:ascii="Calibri" w:eastAsia="Times New Roman" w:hAnsi="Calibri" w:cs="Times New Roman"/>
                <w:b/>
                <w:bCs/>
              </w:rPr>
              <w:t>Price</w:t>
            </w:r>
          </w:p>
        </w:tc>
        <w:tc>
          <w:tcPr>
            <w:tcW w:w="1170" w:type="dxa"/>
            <w:hideMark/>
          </w:tcPr>
          <w:p w:rsidR="00FE1804" w:rsidRPr="00FE1804" w:rsidRDefault="00FE1804" w:rsidP="00FE18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r w:rsidRPr="00FE1804">
              <w:rPr>
                <w:rFonts w:ascii="Calibri" w:eastAsia="Times New Roman" w:hAnsi="Calibri" w:cs="Times New Roman"/>
                <w:b/>
                <w:bCs/>
              </w:rPr>
              <w:t>Listings</w:t>
            </w:r>
          </w:p>
        </w:tc>
        <w:tc>
          <w:tcPr>
            <w:tcW w:w="1170" w:type="dxa"/>
            <w:hideMark/>
          </w:tcPr>
          <w:p w:rsidR="00FE1804" w:rsidRPr="00FE1804" w:rsidRDefault="00FE1804" w:rsidP="00FE18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r w:rsidRPr="00FE1804">
              <w:rPr>
                <w:rFonts w:ascii="Calibri" w:eastAsia="Times New Roman" w:hAnsi="Calibri" w:cs="Times New Roman"/>
                <w:b/>
                <w:bCs/>
              </w:rPr>
              <w:t>Inventory</w:t>
            </w:r>
          </w:p>
        </w:tc>
      </w:tr>
      <w:tr w:rsidR="00FE1804" w:rsidRPr="00FE1804" w:rsidTr="00FE180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FE1804" w:rsidRPr="00FE1804" w:rsidRDefault="00FE1804" w:rsidP="00FE1804">
            <w:pPr>
              <w:jc w:val="right"/>
              <w:rPr>
                <w:rFonts w:ascii="Calibri" w:eastAsia="Times New Roman" w:hAnsi="Calibri" w:cs="Times New Roman"/>
                <w:color w:val="000000"/>
              </w:rPr>
            </w:pPr>
            <w:r w:rsidRPr="00FE1804">
              <w:rPr>
                <w:rFonts w:ascii="Calibri" w:eastAsia="Times New Roman" w:hAnsi="Calibri" w:cs="Times New Roman"/>
                <w:color w:val="000000"/>
              </w:rPr>
              <w:t>Jan-15</w:t>
            </w:r>
          </w:p>
        </w:tc>
        <w:tc>
          <w:tcPr>
            <w:tcW w:w="96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70</w:t>
            </w:r>
          </w:p>
        </w:tc>
        <w:tc>
          <w:tcPr>
            <w:tcW w:w="185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10,501,336</w:t>
            </w:r>
          </w:p>
        </w:tc>
        <w:tc>
          <w:tcPr>
            <w:tcW w:w="162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150,019</w:t>
            </w:r>
          </w:p>
        </w:tc>
        <w:tc>
          <w:tcPr>
            <w:tcW w:w="153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133,350</w:t>
            </w:r>
          </w:p>
        </w:tc>
        <w:tc>
          <w:tcPr>
            <w:tcW w:w="117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274</w:t>
            </w:r>
          </w:p>
        </w:tc>
        <w:tc>
          <w:tcPr>
            <w:tcW w:w="117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2.8</w:t>
            </w:r>
          </w:p>
        </w:tc>
      </w:tr>
      <w:tr w:rsidR="00FE1804" w:rsidRPr="00FE1804" w:rsidTr="00FE1804">
        <w:trPr>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FE1804" w:rsidRPr="00FE1804" w:rsidRDefault="00FE1804" w:rsidP="00FE1804">
            <w:pPr>
              <w:jc w:val="right"/>
              <w:rPr>
                <w:rFonts w:ascii="Calibri" w:eastAsia="Times New Roman" w:hAnsi="Calibri" w:cs="Times New Roman"/>
                <w:color w:val="000000"/>
              </w:rPr>
            </w:pPr>
            <w:r w:rsidRPr="00FE1804">
              <w:rPr>
                <w:rFonts w:ascii="Calibri" w:eastAsia="Times New Roman" w:hAnsi="Calibri" w:cs="Times New Roman"/>
                <w:color w:val="000000"/>
              </w:rPr>
              <w:t>Feb-15</w:t>
            </w:r>
          </w:p>
        </w:tc>
        <w:tc>
          <w:tcPr>
            <w:tcW w:w="96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77</w:t>
            </w:r>
          </w:p>
        </w:tc>
        <w:tc>
          <w:tcPr>
            <w:tcW w:w="185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11,281,772</w:t>
            </w:r>
          </w:p>
        </w:tc>
        <w:tc>
          <w:tcPr>
            <w:tcW w:w="162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146,517</w:t>
            </w:r>
          </w:p>
        </w:tc>
        <w:tc>
          <w:tcPr>
            <w:tcW w:w="153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139,500</w:t>
            </w:r>
          </w:p>
        </w:tc>
        <w:tc>
          <w:tcPr>
            <w:tcW w:w="117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285</w:t>
            </w:r>
          </w:p>
        </w:tc>
        <w:tc>
          <w:tcPr>
            <w:tcW w:w="117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2.8</w:t>
            </w:r>
          </w:p>
        </w:tc>
      </w:tr>
      <w:tr w:rsidR="00FE1804" w:rsidRPr="00FE1804" w:rsidTr="00FE180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FE1804" w:rsidRPr="00FE1804" w:rsidRDefault="00FE1804" w:rsidP="00FE1804">
            <w:pPr>
              <w:jc w:val="right"/>
              <w:rPr>
                <w:rFonts w:ascii="Calibri" w:eastAsia="Times New Roman" w:hAnsi="Calibri" w:cs="Times New Roman"/>
                <w:color w:val="000000"/>
              </w:rPr>
            </w:pPr>
            <w:r w:rsidRPr="00FE1804">
              <w:rPr>
                <w:rFonts w:ascii="Calibri" w:eastAsia="Times New Roman" w:hAnsi="Calibri" w:cs="Times New Roman"/>
                <w:color w:val="000000"/>
              </w:rPr>
              <w:t>Mar-15</w:t>
            </w:r>
          </w:p>
        </w:tc>
        <w:tc>
          <w:tcPr>
            <w:tcW w:w="96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107</w:t>
            </w:r>
          </w:p>
        </w:tc>
        <w:tc>
          <w:tcPr>
            <w:tcW w:w="185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15,413,183</w:t>
            </w:r>
          </w:p>
        </w:tc>
        <w:tc>
          <w:tcPr>
            <w:tcW w:w="162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144,048</w:t>
            </w:r>
          </w:p>
        </w:tc>
        <w:tc>
          <w:tcPr>
            <w:tcW w:w="153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132,500</w:t>
            </w:r>
          </w:p>
        </w:tc>
        <w:tc>
          <w:tcPr>
            <w:tcW w:w="117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278</w:t>
            </w:r>
          </w:p>
        </w:tc>
        <w:tc>
          <w:tcPr>
            <w:tcW w:w="117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2.8</w:t>
            </w:r>
          </w:p>
        </w:tc>
      </w:tr>
      <w:tr w:rsidR="00FE1804" w:rsidRPr="00FE1804" w:rsidTr="00FE1804">
        <w:trPr>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FE1804" w:rsidRPr="00FE1804" w:rsidRDefault="00FE1804" w:rsidP="00FE1804">
            <w:pPr>
              <w:jc w:val="right"/>
              <w:rPr>
                <w:rFonts w:ascii="Calibri" w:eastAsia="Times New Roman" w:hAnsi="Calibri" w:cs="Times New Roman"/>
                <w:color w:val="000000"/>
              </w:rPr>
            </w:pPr>
            <w:r w:rsidRPr="00FE1804">
              <w:rPr>
                <w:rFonts w:ascii="Calibri" w:eastAsia="Times New Roman" w:hAnsi="Calibri" w:cs="Times New Roman"/>
                <w:color w:val="000000"/>
              </w:rPr>
              <w:t>Apr-15</w:t>
            </w:r>
          </w:p>
        </w:tc>
        <w:tc>
          <w:tcPr>
            <w:tcW w:w="96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117</w:t>
            </w:r>
          </w:p>
        </w:tc>
        <w:tc>
          <w:tcPr>
            <w:tcW w:w="185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19,393,874</w:t>
            </w:r>
          </w:p>
        </w:tc>
        <w:tc>
          <w:tcPr>
            <w:tcW w:w="162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165,760</w:t>
            </w:r>
          </w:p>
        </w:tc>
        <w:tc>
          <w:tcPr>
            <w:tcW w:w="153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144,750</w:t>
            </w:r>
          </w:p>
        </w:tc>
        <w:tc>
          <w:tcPr>
            <w:tcW w:w="117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312</w:t>
            </w:r>
          </w:p>
        </w:tc>
        <w:tc>
          <w:tcPr>
            <w:tcW w:w="117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3.1</w:t>
            </w:r>
          </w:p>
        </w:tc>
      </w:tr>
      <w:tr w:rsidR="00FE1804" w:rsidRPr="00FE1804" w:rsidTr="00FE180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FE1804" w:rsidRPr="00FE1804" w:rsidRDefault="00FE1804" w:rsidP="00FE1804">
            <w:pPr>
              <w:jc w:val="right"/>
              <w:rPr>
                <w:rFonts w:ascii="Calibri" w:eastAsia="Times New Roman" w:hAnsi="Calibri" w:cs="Times New Roman"/>
                <w:color w:val="000000"/>
              </w:rPr>
            </w:pPr>
            <w:r w:rsidRPr="00FE1804">
              <w:rPr>
                <w:rFonts w:ascii="Calibri" w:eastAsia="Times New Roman" w:hAnsi="Calibri" w:cs="Times New Roman"/>
                <w:color w:val="000000"/>
              </w:rPr>
              <w:t>May-15</w:t>
            </w:r>
          </w:p>
        </w:tc>
        <w:tc>
          <w:tcPr>
            <w:tcW w:w="96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128</w:t>
            </w:r>
          </w:p>
        </w:tc>
        <w:tc>
          <w:tcPr>
            <w:tcW w:w="185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22,514,798</w:t>
            </w:r>
          </w:p>
        </w:tc>
        <w:tc>
          <w:tcPr>
            <w:tcW w:w="162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175,897</w:t>
            </w:r>
          </w:p>
        </w:tc>
        <w:tc>
          <w:tcPr>
            <w:tcW w:w="153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155,000</w:t>
            </w:r>
          </w:p>
        </w:tc>
        <w:tc>
          <w:tcPr>
            <w:tcW w:w="117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332</w:t>
            </w:r>
          </w:p>
        </w:tc>
        <w:tc>
          <w:tcPr>
            <w:tcW w:w="117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3.2</w:t>
            </w:r>
          </w:p>
        </w:tc>
      </w:tr>
      <w:tr w:rsidR="00FE1804" w:rsidRPr="00FE1804" w:rsidTr="00FE1804">
        <w:trPr>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FE1804" w:rsidRPr="00FE1804" w:rsidRDefault="00FE1804" w:rsidP="00FE1804">
            <w:pPr>
              <w:jc w:val="right"/>
              <w:rPr>
                <w:rFonts w:ascii="Calibri" w:eastAsia="Times New Roman" w:hAnsi="Calibri" w:cs="Times New Roman"/>
                <w:color w:val="000000"/>
              </w:rPr>
            </w:pPr>
            <w:r w:rsidRPr="00FE1804">
              <w:rPr>
                <w:rFonts w:ascii="Calibri" w:eastAsia="Times New Roman" w:hAnsi="Calibri" w:cs="Times New Roman"/>
                <w:color w:val="000000"/>
              </w:rPr>
              <w:t>Jun-15</w:t>
            </w:r>
          </w:p>
        </w:tc>
        <w:tc>
          <w:tcPr>
            <w:tcW w:w="96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132</w:t>
            </w:r>
          </w:p>
        </w:tc>
        <w:tc>
          <w:tcPr>
            <w:tcW w:w="185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24,184,226</w:t>
            </w:r>
          </w:p>
        </w:tc>
        <w:tc>
          <w:tcPr>
            <w:tcW w:w="162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183,214</w:t>
            </w:r>
          </w:p>
        </w:tc>
        <w:tc>
          <w:tcPr>
            <w:tcW w:w="153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157,500</w:t>
            </w:r>
          </w:p>
        </w:tc>
        <w:tc>
          <w:tcPr>
            <w:tcW w:w="117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341</w:t>
            </w:r>
          </w:p>
        </w:tc>
        <w:tc>
          <w:tcPr>
            <w:tcW w:w="117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3.3</w:t>
            </w:r>
          </w:p>
        </w:tc>
      </w:tr>
      <w:tr w:rsidR="00FE1804" w:rsidRPr="00FE1804" w:rsidTr="00FE180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FE1804" w:rsidRPr="00FE1804" w:rsidRDefault="00FE1804" w:rsidP="00FE1804">
            <w:pPr>
              <w:jc w:val="right"/>
              <w:rPr>
                <w:rFonts w:ascii="Calibri" w:eastAsia="Times New Roman" w:hAnsi="Calibri" w:cs="Times New Roman"/>
                <w:color w:val="000000"/>
              </w:rPr>
            </w:pPr>
            <w:r w:rsidRPr="00FE1804">
              <w:rPr>
                <w:rFonts w:ascii="Calibri" w:eastAsia="Times New Roman" w:hAnsi="Calibri" w:cs="Times New Roman"/>
                <w:color w:val="000000"/>
              </w:rPr>
              <w:t>Jul-15</w:t>
            </w:r>
          </w:p>
        </w:tc>
        <w:tc>
          <w:tcPr>
            <w:tcW w:w="96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157</w:t>
            </w:r>
          </w:p>
        </w:tc>
        <w:tc>
          <w:tcPr>
            <w:tcW w:w="185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26,802,179</w:t>
            </w:r>
          </w:p>
        </w:tc>
        <w:tc>
          <w:tcPr>
            <w:tcW w:w="162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170,715</w:t>
            </w:r>
          </w:p>
        </w:tc>
        <w:tc>
          <w:tcPr>
            <w:tcW w:w="153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139,900</w:t>
            </w:r>
          </w:p>
        </w:tc>
        <w:tc>
          <w:tcPr>
            <w:tcW w:w="117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352</w:t>
            </w:r>
          </w:p>
        </w:tc>
        <w:tc>
          <w:tcPr>
            <w:tcW w:w="117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3.3</w:t>
            </w:r>
          </w:p>
        </w:tc>
      </w:tr>
      <w:tr w:rsidR="00FE1804" w:rsidRPr="00FE1804" w:rsidTr="00FE1804">
        <w:trPr>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FE1804" w:rsidRPr="00FE1804" w:rsidRDefault="00FE1804" w:rsidP="00FE1804">
            <w:pPr>
              <w:jc w:val="right"/>
              <w:rPr>
                <w:rFonts w:ascii="Calibri" w:eastAsia="Times New Roman" w:hAnsi="Calibri" w:cs="Times New Roman"/>
                <w:color w:val="000000"/>
              </w:rPr>
            </w:pPr>
            <w:r w:rsidRPr="00FE1804">
              <w:rPr>
                <w:rFonts w:ascii="Calibri" w:eastAsia="Times New Roman" w:hAnsi="Calibri" w:cs="Times New Roman"/>
                <w:color w:val="000000"/>
              </w:rPr>
              <w:t>Aug-15</w:t>
            </w:r>
          </w:p>
        </w:tc>
        <w:tc>
          <w:tcPr>
            <w:tcW w:w="96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140</w:t>
            </w:r>
          </w:p>
        </w:tc>
        <w:tc>
          <w:tcPr>
            <w:tcW w:w="185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20,841,544</w:t>
            </w:r>
          </w:p>
        </w:tc>
        <w:tc>
          <w:tcPr>
            <w:tcW w:w="162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148,868</w:t>
            </w:r>
          </w:p>
        </w:tc>
        <w:tc>
          <w:tcPr>
            <w:tcW w:w="153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134,000</w:t>
            </w:r>
          </w:p>
        </w:tc>
        <w:tc>
          <w:tcPr>
            <w:tcW w:w="117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368</w:t>
            </w:r>
          </w:p>
        </w:tc>
        <w:tc>
          <w:tcPr>
            <w:tcW w:w="117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3.4</w:t>
            </w:r>
          </w:p>
        </w:tc>
      </w:tr>
      <w:tr w:rsidR="00FE1804" w:rsidRPr="00FE1804" w:rsidTr="00FE180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FE1804" w:rsidRPr="00FE1804" w:rsidRDefault="00FE1804" w:rsidP="00FE1804">
            <w:pPr>
              <w:jc w:val="right"/>
              <w:rPr>
                <w:rFonts w:ascii="Calibri" w:eastAsia="Times New Roman" w:hAnsi="Calibri" w:cs="Times New Roman"/>
                <w:color w:val="000000"/>
              </w:rPr>
            </w:pPr>
            <w:r w:rsidRPr="00FE1804">
              <w:rPr>
                <w:rFonts w:ascii="Calibri" w:eastAsia="Times New Roman" w:hAnsi="Calibri" w:cs="Times New Roman"/>
                <w:color w:val="000000"/>
              </w:rPr>
              <w:t>Sep-15</w:t>
            </w:r>
          </w:p>
        </w:tc>
        <w:tc>
          <w:tcPr>
            <w:tcW w:w="96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81</w:t>
            </w:r>
          </w:p>
        </w:tc>
        <w:tc>
          <w:tcPr>
            <w:tcW w:w="185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13,954,197</w:t>
            </w:r>
          </w:p>
        </w:tc>
        <w:tc>
          <w:tcPr>
            <w:tcW w:w="162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172,274</w:t>
            </w:r>
          </w:p>
        </w:tc>
        <w:tc>
          <w:tcPr>
            <w:tcW w:w="153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165,500</w:t>
            </w:r>
          </w:p>
        </w:tc>
        <w:tc>
          <w:tcPr>
            <w:tcW w:w="117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394</w:t>
            </w:r>
          </w:p>
        </w:tc>
        <w:tc>
          <w:tcPr>
            <w:tcW w:w="117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3.6</w:t>
            </w:r>
          </w:p>
        </w:tc>
      </w:tr>
      <w:tr w:rsidR="00FE1804" w:rsidRPr="00FE1804" w:rsidTr="00FE1804">
        <w:trPr>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FE1804" w:rsidRPr="00FE1804" w:rsidRDefault="00FE1804" w:rsidP="00FE1804">
            <w:pPr>
              <w:jc w:val="right"/>
              <w:rPr>
                <w:rFonts w:ascii="Calibri" w:eastAsia="Times New Roman" w:hAnsi="Calibri" w:cs="Times New Roman"/>
                <w:color w:val="000000"/>
              </w:rPr>
            </w:pPr>
            <w:r w:rsidRPr="00FE1804">
              <w:rPr>
                <w:rFonts w:ascii="Calibri" w:eastAsia="Times New Roman" w:hAnsi="Calibri" w:cs="Times New Roman"/>
                <w:color w:val="000000"/>
              </w:rPr>
              <w:t>Oct-15</w:t>
            </w:r>
          </w:p>
        </w:tc>
        <w:tc>
          <w:tcPr>
            <w:tcW w:w="96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120</w:t>
            </w:r>
          </w:p>
        </w:tc>
        <w:tc>
          <w:tcPr>
            <w:tcW w:w="185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18,522,625</w:t>
            </w:r>
          </w:p>
        </w:tc>
        <w:tc>
          <w:tcPr>
            <w:tcW w:w="162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154,355</w:t>
            </w:r>
          </w:p>
        </w:tc>
        <w:tc>
          <w:tcPr>
            <w:tcW w:w="153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126,000</w:t>
            </w:r>
          </w:p>
        </w:tc>
        <w:tc>
          <w:tcPr>
            <w:tcW w:w="117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371</w:t>
            </w:r>
          </w:p>
        </w:tc>
        <w:tc>
          <w:tcPr>
            <w:tcW w:w="117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3.4</w:t>
            </w:r>
          </w:p>
        </w:tc>
      </w:tr>
      <w:tr w:rsidR="00FE1804" w:rsidRPr="00FE1804" w:rsidTr="00FE180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FE1804" w:rsidRPr="00FE1804" w:rsidRDefault="00FE1804" w:rsidP="00FE1804">
            <w:pPr>
              <w:jc w:val="right"/>
              <w:rPr>
                <w:rFonts w:ascii="Calibri" w:eastAsia="Times New Roman" w:hAnsi="Calibri" w:cs="Times New Roman"/>
                <w:color w:val="000000"/>
              </w:rPr>
            </w:pPr>
            <w:r w:rsidRPr="00FE1804">
              <w:rPr>
                <w:rFonts w:ascii="Calibri" w:eastAsia="Times New Roman" w:hAnsi="Calibri" w:cs="Times New Roman"/>
                <w:color w:val="000000"/>
              </w:rPr>
              <w:t>Nov-15</w:t>
            </w:r>
          </w:p>
        </w:tc>
        <w:tc>
          <w:tcPr>
            <w:tcW w:w="96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83</w:t>
            </w:r>
          </w:p>
        </w:tc>
        <w:tc>
          <w:tcPr>
            <w:tcW w:w="185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13,368,778</w:t>
            </w:r>
          </w:p>
        </w:tc>
        <w:tc>
          <w:tcPr>
            <w:tcW w:w="162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161,070</w:t>
            </w:r>
          </w:p>
        </w:tc>
        <w:tc>
          <w:tcPr>
            <w:tcW w:w="153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142,500</w:t>
            </w:r>
          </w:p>
        </w:tc>
        <w:tc>
          <w:tcPr>
            <w:tcW w:w="117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364</w:t>
            </w:r>
          </w:p>
        </w:tc>
        <w:tc>
          <w:tcPr>
            <w:tcW w:w="117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3.3</w:t>
            </w:r>
          </w:p>
        </w:tc>
      </w:tr>
      <w:tr w:rsidR="00FE1804" w:rsidRPr="00FE1804" w:rsidTr="00FE1804">
        <w:trPr>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FE1804" w:rsidRPr="00FE1804" w:rsidRDefault="00FE1804" w:rsidP="00FE1804">
            <w:pPr>
              <w:jc w:val="right"/>
              <w:rPr>
                <w:rFonts w:ascii="Calibri" w:eastAsia="Times New Roman" w:hAnsi="Calibri" w:cs="Times New Roman"/>
                <w:color w:val="000000"/>
              </w:rPr>
            </w:pPr>
            <w:r w:rsidRPr="00FE1804">
              <w:rPr>
                <w:rFonts w:ascii="Calibri" w:eastAsia="Times New Roman" w:hAnsi="Calibri" w:cs="Times New Roman"/>
                <w:color w:val="000000"/>
              </w:rPr>
              <w:t>Dec-15</w:t>
            </w:r>
          </w:p>
        </w:tc>
        <w:tc>
          <w:tcPr>
            <w:tcW w:w="96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107</w:t>
            </w:r>
          </w:p>
        </w:tc>
        <w:tc>
          <w:tcPr>
            <w:tcW w:w="185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18,106,670</w:t>
            </w:r>
          </w:p>
        </w:tc>
        <w:tc>
          <w:tcPr>
            <w:tcW w:w="162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169,221</w:t>
            </w:r>
          </w:p>
        </w:tc>
        <w:tc>
          <w:tcPr>
            <w:tcW w:w="153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154,000</w:t>
            </w:r>
          </w:p>
        </w:tc>
        <w:tc>
          <w:tcPr>
            <w:tcW w:w="117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341</w:t>
            </w:r>
          </w:p>
        </w:tc>
        <w:tc>
          <w:tcPr>
            <w:tcW w:w="117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3.1</w:t>
            </w:r>
          </w:p>
        </w:tc>
      </w:tr>
      <w:tr w:rsidR="00FE1804" w:rsidRPr="00FE1804" w:rsidTr="00FE180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FE1804" w:rsidRPr="00FE1804" w:rsidRDefault="00FE1804" w:rsidP="00FE1804">
            <w:pPr>
              <w:jc w:val="right"/>
              <w:rPr>
                <w:rFonts w:ascii="Calibri" w:eastAsia="Times New Roman" w:hAnsi="Calibri" w:cs="Times New Roman"/>
                <w:color w:val="000000"/>
              </w:rPr>
            </w:pPr>
            <w:r w:rsidRPr="00FE1804">
              <w:rPr>
                <w:rFonts w:ascii="Calibri" w:eastAsia="Times New Roman" w:hAnsi="Calibri" w:cs="Times New Roman"/>
                <w:color w:val="000000"/>
              </w:rPr>
              <w:t>Jan-16</w:t>
            </w:r>
          </w:p>
        </w:tc>
        <w:tc>
          <w:tcPr>
            <w:tcW w:w="96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69</w:t>
            </w:r>
          </w:p>
        </w:tc>
        <w:tc>
          <w:tcPr>
            <w:tcW w:w="185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10,669,983</w:t>
            </w:r>
          </w:p>
        </w:tc>
        <w:tc>
          <w:tcPr>
            <w:tcW w:w="162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154,637</w:t>
            </w:r>
          </w:p>
        </w:tc>
        <w:tc>
          <w:tcPr>
            <w:tcW w:w="153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153,300</w:t>
            </w:r>
          </w:p>
        </w:tc>
        <w:tc>
          <w:tcPr>
            <w:tcW w:w="117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320</w:t>
            </w:r>
          </w:p>
        </w:tc>
        <w:tc>
          <w:tcPr>
            <w:tcW w:w="117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2.9</w:t>
            </w:r>
          </w:p>
        </w:tc>
      </w:tr>
      <w:tr w:rsidR="00FE1804" w:rsidRPr="00FE1804" w:rsidTr="00FE1804">
        <w:trPr>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FE1804" w:rsidRPr="00FE1804" w:rsidRDefault="00FE1804" w:rsidP="00FE1804">
            <w:pPr>
              <w:jc w:val="right"/>
              <w:rPr>
                <w:rFonts w:ascii="Calibri" w:eastAsia="Times New Roman" w:hAnsi="Calibri" w:cs="Times New Roman"/>
                <w:color w:val="000000"/>
              </w:rPr>
            </w:pPr>
            <w:r w:rsidRPr="00FE1804">
              <w:rPr>
                <w:rFonts w:ascii="Calibri" w:eastAsia="Times New Roman" w:hAnsi="Calibri" w:cs="Times New Roman"/>
                <w:color w:val="000000"/>
              </w:rPr>
              <w:t>Feb-16</w:t>
            </w:r>
          </w:p>
        </w:tc>
        <w:tc>
          <w:tcPr>
            <w:tcW w:w="96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85</w:t>
            </w:r>
          </w:p>
        </w:tc>
        <w:tc>
          <w:tcPr>
            <w:tcW w:w="185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11,979,140</w:t>
            </w:r>
          </w:p>
        </w:tc>
        <w:tc>
          <w:tcPr>
            <w:tcW w:w="162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140,931</w:t>
            </w:r>
          </w:p>
        </w:tc>
        <w:tc>
          <w:tcPr>
            <w:tcW w:w="153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125,900</w:t>
            </w:r>
          </w:p>
        </w:tc>
        <w:tc>
          <w:tcPr>
            <w:tcW w:w="117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324</w:t>
            </w:r>
          </w:p>
        </w:tc>
        <w:tc>
          <w:tcPr>
            <w:tcW w:w="117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2.9</w:t>
            </w:r>
          </w:p>
        </w:tc>
      </w:tr>
      <w:tr w:rsidR="00FE1804" w:rsidRPr="00FE1804" w:rsidTr="00FE180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FE1804" w:rsidRPr="00FE1804" w:rsidRDefault="00FE1804" w:rsidP="00FE1804">
            <w:pPr>
              <w:jc w:val="right"/>
              <w:rPr>
                <w:rFonts w:ascii="Calibri" w:eastAsia="Times New Roman" w:hAnsi="Calibri" w:cs="Times New Roman"/>
                <w:color w:val="000000"/>
              </w:rPr>
            </w:pPr>
            <w:r w:rsidRPr="00FE1804">
              <w:rPr>
                <w:rFonts w:ascii="Calibri" w:eastAsia="Times New Roman" w:hAnsi="Calibri" w:cs="Times New Roman"/>
                <w:color w:val="000000"/>
              </w:rPr>
              <w:t>Mar-16</w:t>
            </w:r>
          </w:p>
        </w:tc>
        <w:tc>
          <w:tcPr>
            <w:tcW w:w="96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120</w:t>
            </w:r>
          </w:p>
        </w:tc>
        <w:tc>
          <w:tcPr>
            <w:tcW w:w="185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21,224,426</w:t>
            </w:r>
          </w:p>
        </w:tc>
        <w:tc>
          <w:tcPr>
            <w:tcW w:w="162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176,870</w:t>
            </w:r>
          </w:p>
        </w:tc>
        <w:tc>
          <w:tcPr>
            <w:tcW w:w="153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151,925</w:t>
            </w:r>
          </w:p>
        </w:tc>
        <w:tc>
          <w:tcPr>
            <w:tcW w:w="117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288</w:t>
            </w:r>
          </w:p>
        </w:tc>
        <w:tc>
          <w:tcPr>
            <w:tcW w:w="117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2.6</w:t>
            </w:r>
          </w:p>
        </w:tc>
      </w:tr>
      <w:tr w:rsidR="00FE1804" w:rsidRPr="00FE1804" w:rsidTr="00FE1804">
        <w:trPr>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FE1804" w:rsidRPr="00FE1804" w:rsidRDefault="00FE1804" w:rsidP="00FE1804">
            <w:pPr>
              <w:jc w:val="right"/>
              <w:rPr>
                <w:rFonts w:ascii="Calibri" w:eastAsia="Times New Roman" w:hAnsi="Calibri" w:cs="Times New Roman"/>
                <w:color w:val="000000"/>
              </w:rPr>
            </w:pPr>
            <w:r w:rsidRPr="00FE1804">
              <w:rPr>
                <w:rFonts w:ascii="Calibri" w:eastAsia="Times New Roman" w:hAnsi="Calibri" w:cs="Times New Roman"/>
                <w:color w:val="000000"/>
              </w:rPr>
              <w:t>Apr-16</w:t>
            </w:r>
          </w:p>
        </w:tc>
        <w:tc>
          <w:tcPr>
            <w:tcW w:w="96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136</w:t>
            </w:r>
          </w:p>
        </w:tc>
        <w:tc>
          <w:tcPr>
            <w:tcW w:w="185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21,926,523</w:t>
            </w:r>
          </w:p>
        </w:tc>
        <w:tc>
          <w:tcPr>
            <w:tcW w:w="162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161,224</w:t>
            </w:r>
          </w:p>
        </w:tc>
        <w:tc>
          <w:tcPr>
            <w:tcW w:w="153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140,812</w:t>
            </w:r>
          </w:p>
        </w:tc>
        <w:tc>
          <w:tcPr>
            <w:tcW w:w="117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282</w:t>
            </w:r>
          </w:p>
        </w:tc>
        <w:tc>
          <w:tcPr>
            <w:tcW w:w="117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2.5</w:t>
            </w:r>
          </w:p>
        </w:tc>
      </w:tr>
      <w:tr w:rsidR="00FE1804" w:rsidRPr="00FE1804" w:rsidTr="00FE180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FE1804" w:rsidRPr="00FE1804" w:rsidRDefault="00FE1804" w:rsidP="00FE1804">
            <w:pPr>
              <w:jc w:val="right"/>
              <w:rPr>
                <w:rFonts w:ascii="Calibri" w:eastAsia="Times New Roman" w:hAnsi="Calibri" w:cs="Times New Roman"/>
                <w:color w:val="000000"/>
              </w:rPr>
            </w:pPr>
            <w:r w:rsidRPr="00FE1804">
              <w:rPr>
                <w:rFonts w:ascii="Calibri" w:eastAsia="Times New Roman" w:hAnsi="Calibri" w:cs="Times New Roman"/>
                <w:color w:val="000000"/>
              </w:rPr>
              <w:t>May-16</w:t>
            </w:r>
          </w:p>
        </w:tc>
        <w:tc>
          <w:tcPr>
            <w:tcW w:w="96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131</w:t>
            </w:r>
          </w:p>
        </w:tc>
        <w:tc>
          <w:tcPr>
            <w:tcW w:w="185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22,499,980</w:t>
            </w:r>
          </w:p>
        </w:tc>
        <w:tc>
          <w:tcPr>
            <w:tcW w:w="162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171,756</w:t>
            </w:r>
          </w:p>
        </w:tc>
        <w:tc>
          <w:tcPr>
            <w:tcW w:w="153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152,900</w:t>
            </w:r>
          </w:p>
        </w:tc>
        <w:tc>
          <w:tcPr>
            <w:tcW w:w="117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272</w:t>
            </w:r>
          </w:p>
        </w:tc>
        <w:tc>
          <w:tcPr>
            <w:tcW w:w="117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2.4</w:t>
            </w:r>
          </w:p>
        </w:tc>
      </w:tr>
      <w:tr w:rsidR="00FE1804" w:rsidRPr="00FE1804" w:rsidTr="00FE1804">
        <w:trPr>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FE1804" w:rsidRPr="00FE1804" w:rsidRDefault="00FE1804" w:rsidP="00FE1804">
            <w:pPr>
              <w:jc w:val="right"/>
              <w:rPr>
                <w:rFonts w:ascii="Calibri" w:eastAsia="Times New Roman" w:hAnsi="Calibri" w:cs="Times New Roman"/>
                <w:color w:val="000000"/>
              </w:rPr>
            </w:pPr>
            <w:r w:rsidRPr="00FE1804">
              <w:rPr>
                <w:rFonts w:ascii="Calibri" w:eastAsia="Times New Roman" w:hAnsi="Calibri" w:cs="Times New Roman"/>
                <w:color w:val="000000"/>
              </w:rPr>
              <w:t>Jun-16</w:t>
            </w:r>
          </w:p>
        </w:tc>
        <w:tc>
          <w:tcPr>
            <w:tcW w:w="96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145</w:t>
            </w:r>
          </w:p>
        </w:tc>
        <w:tc>
          <w:tcPr>
            <w:tcW w:w="185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26,557,258</w:t>
            </w:r>
          </w:p>
        </w:tc>
        <w:tc>
          <w:tcPr>
            <w:tcW w:w="162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183,154</w:t>
            </w:r>
          </w:p>
        </w:tc>
        <w:tc>
          <w:tcPr>
            <w:tcW w:w="153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150,000</w:t>
            </w:r>
          </w:p>
        </w:tc>
        <w:tc>
          <w:tcPr>
            <w:tcW w:w="117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257</w:t>
            </w:r>
          </w:p>
        </w:tc>
        <w:tc>
          <w:tcPr>
            <w:tcW w:w="117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2.2</w:t>
            </w:r>
          </w:p>
        </w:tc>
      </w:tr>
      <w:tr w:rsidR="00FE1804" w:rsidRPr="00FE1804" w:rsidTr="00FE180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FE1804" w:rsidRPr="00FE1804" w:rsidRDefault="00FE1804" w:rsidP="00FE1804">
            <w:pPr>
              <w:jc w:val="right"/>
              <w:rPr>
                <w:rFonts w:ascii="Calibri" w:eastAsia="Times New Roman" w:hAnsi="Calibri" w:cs="Times New Roman"/>
                <w:color w:val="000000"/>
              </w:rPr>
            </w:pPr>
            <w:r w:rsidRPr="00FE1804">
              <w:rPr>
                <w:rFonts w:ascii="Calibri" w:eastAsia="Times New Roman" w:hAnsi="Calibri" w:cs="Times New Roman"/>
                <w:color w:val="000000"/>
              </w:rPr>
              <w:t>Jul-16</w:t>
            </w:r>
          </w:p>
        </w:tc>
        <w:tc>
          <w:tcPr>
            <w:tcW w:w="96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127</w:t>
            </w:r>
          </w:p>
        </w:tc>
        <w:tc>
          <w:tcPr>
            <w:tcW w:w="185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24,780,797</w:t>
            </w:r>
          </w:p>
        </w:tc>
        <w:tc>
          <w:tcPr>
            <w:tcW w:w="162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195,124</w:t>
            </w:r>
          </w:p>
        </w:tc>
        <w:tc>
          <w:tcPr>
            <w:tcW w:w="153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165,000</w:t>
            </w:r>
          </w:p>
        </w:tc>
        <w:tc>
          <w:tcPr>
            <w:tcW w:w="117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277</w:t>
            </w:r>
          </w:p>
        </w:tc>
        <w:tc>
          <w:tcPr>
            <w:tcW w:w="117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2.5</w:t>
            </w:r>
          </w:p>
        </w:tc>
      </w:tr>
      <w:tr w:rsidR="00FE1804" w:rsidRPr="00FE1804" w:rsidTr="00FE1804">
        <w:trPr>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FE1804" w:rsidRPr="00FE1804" w:rsidRDefault="00FE1804" w:rsidP="00FE1804">
            <w:pPr>
              <w:jc w:val="right"/>
              <w:rPr>
                <w:rFonts w:ascii="Calibri" w:eastAsia="Times New Roman" w:hAnsi="Calibri" w:cs="Times New Roman"/>
                <w:color w:val="000000"/>
              </w:rPr>
            </w:pPr>
            <w:r w:rsidRPr="00FE1804">
              <w:rPr>
                <w:rFonts w:ascii="Calibri" w:eastAsia="Times New Roman" w:hAnsi="Calibri" w:cs="Times New Roman"/>
                <w:color w:val="000000"/>
              </w:rPr>
              <w:t>Aug-16</w:t>
            </w:r>
          </w:p>
        </w:tc>
        <w:tc>
          <w:tcPr>
            <w:tcW w:w="96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119</w:t>
            </w:r>
          </w:p>
        </w:tc>
        <w:tc>
          <w:tcPr>
            <w:tcW w:w="185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19,842,299</w:t>
            </w:r>
          </w:p>
        </w:tc>
        <w:tc>
          <w:tcPr>
            <w:tcW w:w="162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166,742</w:t>
            </w:r>
          </w:p>
        </w:tc>
        <w:tc>
          <w:tcPr>
            <w:tcW w:w="153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147,000</w:t>
            </w:r>
          </w:p>
        </w:tc>
        <w:tc>
          <w:tcPr>
            <w:tcW w:w="117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284</w:t>
            </w:r>
          </w:p>
        </w:tc>
        <w:tc>
          <w:tcPr>
            <w:tcW w:w="117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2.6</w:t>
            </w:r>
          </w:p>
        </w:tc>
      </w:tr>
      <w:tr w:rsidR="00FE1804" w:rsidRPr="00FE1804" w:rsidTr="00FE180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FE1804" w:rsidRPr="00FE1804" w:rsidRDefault="00FE1804" w:rsidP="00FE1804">
            <w:pPr>
              <w:jc w:val="right"/>
              <w:rPr>
                <w:rFonts w:ascii="Calibri" w:eastAsia="Times New Roman" w:hAnsi="Calibri" w:cs="Times New Roman"/>
                <w:color w:val="000000"/>
              </w:rPr>
            </w:pPr>
            <w:r w:rsidRPr="00FE1804">
              <w:rPr>
                <w:rFonts w:ascii="Calibri" w:eastAsia="Times New Roman" w:hAnsi="Calibri" w:cs="Times New Roman"/>
                <w:color w:val="000000"/>
              </w:rPr>
              <w:t>Sep-16</w:t>
            </w:r>
          </w:p>
        </w:tc>
        <w:tc>
          <w:tcPr>
            <w:tcW w:w="96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125</w:t>
            </w:r>
          </w:p>
        </w:tc>
        <w:tc>
          <w:tcPr>
            <w:tcW w:w="185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21,977,722</w:t>
            </w:r>
          </w:p>
        </w:tc>
        <w:tc>
          <w:tcPr>
            <w:tcW w:w="162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175,822</w:t>
            </w:r>
          </w:p>
        </w:tc>
        <w:tc>
          <w:tcPr>
            <w:tcW w:w="153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144,500</w:t>
            </w:r>
          </w:p>
        </w:tc>
        <w:tc>
          <w:tcPr>
            <w:tcW w:w="117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277</w:t>
            </w:r>
          </w:p>
        </w:tc>
        <w:tc>
          <w:tcPr>
            <w:tcW w:w="117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2.4</w:t>
            </w:r>
          </w:p>
        </w:tc>
      </w:tr>
      <w:tr w:rsidR="00FE1804" w:rsidRPr="00FE1804" w:rsidTr="00FE1804">
        <w:trPr>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FE1804" w:rsidRPr="00FE1804" w:rsidRDefault="00FE1804" w:rsidP="00FE1804">
            <w:pPr>
              <w:jc w:val="right"/>
              <w:rPr>
                <w:rFonts w:ascii="Calibri" w:eastAsia="Times New Roman" w:hAnsi="Calibri" w:cs="Times New Roman"/>
                <w:color w:val="000000"/>
              </w:rPr>
            </w:pPr>
            <w:r w:rsidRPr="00FE1804">
              <w:rPr>
                <w:rFonts w:ascii="Calibri" w:eastAsia="Times New Roman" w:hAnsi="Calibri" w:cs="Times New Roman"/>
                <w:color w:val="000000"/>
              </w:rPr>
              <w:t>Oct-16</w:t>
            </w:r>
          </w:p>
        </w:tc>
        <w:tc>
          <w:tcPr>
            <w:tcW w:w="96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125</w:t>
            </w:r>
          </w:p>
        </w:tc>
        <w:tc>
          <w:tcPr>
            <w:tcW w:w="185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21,081,023</w:t>
            </w:r>
          </w:p>
        </w:tc>
        <w:tc>
          <w:tcPr>
            <w:tcW w:w="162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168,648</w:t>
            </w:r>
          </w:p>
        </w:tc>
        <w:tc>
          <w:tcPr>
            <w:tcW w:w="153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140,000</w:t>
            </w:r>
          </w:p>
        </w:tc>
        <w:tc>
          <w:tcPr>
            <w:tcW w:w="117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279</w:t>
            </w:r>
          </w:p>
        </w:tc>
        <w:tc>
          <w:tcPr>
            <w:tcW w:w="117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2.4</w:t>
            </w:r>
          </w:p>
        </w:tc>
      </w:tr>
      <w:tr w:rsidR="00FE1804" w:rsidRPr="00FE1804" w:rsidTr="00FE180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FE1804" w:rsidRPr="00FE1804" w:rsidRDefault="00FE1804" w:rsidP="00FE1804">
            <w:pPr>
              <w:jc w:val="right"/>
              <w:rPr>
                <w:rFonts w:ascii="Calibri" w:eastAsia="Times New Roman" w:hAnsi="Calibri" w:cs="Times New Roman"/>
                <w:color w:val="000000"/>
              </w:rPr>
            </w:pPr>
            <w:r w:rsidRPr="00FE1804">
              <w:rPr>
                <w:rFonts w:ascii="Calibri" w:eastAsia="Times New Roman" w:hAnsi="Calibri" w:cs="Times New Roman"/>
                <w:color w:val="000000"/>
              </w:rPr>
              <w:t>Nov-16</w:t>
            </w:r>
          </w:p>
        </w:tc>
        <w:tc>
          <w:tcPr>
            <w:tcW w:w="96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107</w:t>
            </w:r>
          </w:p>
        </w:tc>
        <w:tc>
          <w:tcPr>
            <w:tcW w:w="185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18,697,328</w:t>
            </w:r>
          </w:p>
        </w:tc>
        <w:tc>
          <w:tcPr>
            <w:tcW w:w="162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174,741</w:t>
            </w:r>
          </w:p>
        </w:tc>
        <w:tc>
          <w:tcPr>
            <w:tcW w:w="153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149,800</w:t>
            </w:r>
          </w:p>
        </w:tc>
        <w:tc>
          <w:tcPr>
            <w:tcW w:w="117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260</w:t>
            </w:r>
          </w:p>
        </w:tc>
        <w:tc>
          <w:tcPr>
            <w:tcW w:w="117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2.2</w:t>
            </w:r>
          </w:p>
        </w:tc>
      </w:tr>
      <w:tr w:rsidR="00FE1804" w:rsidRPr="00FE1804" w:rsidTr="00FE1804">
        <w:trPr>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FE1804" w:rsidRPr="00FE1804" w:rsidRDefault="00FE1804" w:rsidP="00FE1804">
            <w:pPr>
              <w:jc w:val="right"/>
              <w:rPr>
                <w:rFonts w:ascii="Calibri" w:eastAsia="Times New Roman" w:hAnsi="Calibri" w:cs="Times New Roman"/>
                <w:color w:val="000000"/>
              </w:rPr>
            </w:pPr>
            <w:r w:rsidRPr="00FE1804">
              <w:rPr>
                <w:rFonts w:ascii="Calibri" w:eastAsia="Times New Roman" w:hAnsi="Calibri" w:cs="Times New Roman"/>
                <w:color w:val="000000"/>
              </w:rPr>
              <w:t>Dec-16</w:t>
            </w:r>
          </w:p>
        </w:tc>
        <w:tc>
          <w:tcPr>
            <w:tcW w:w="96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88</w:t>
            </w:r>
          </w:p>
        </w:tc>
        <w:tc>
          <w:tcPr>
            <w:tcW w:w="185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15,676,198</w:t>
            </w:r>
          </w:p>
        </w:tc>
        <w:tc>
          <w:tcPr>
            <w:tcW w:w="162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178,139</w:t>
            </w:r>
          </w:p>
        </w:tc>
        <w:tc>
          <w:tcPr>
            <w:tcW w:w="153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162,500</w:t>
            </w:r>
          </w:p>
        </w:tc>
        <w:tc>
          <w:tcPr>
            <w:tcW w:w="117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252</w:t>
            </w:r>
          </w:p>
        </w:tc>
        <w:tc>
          <w:tcPr>
            <w:tcW w:w="117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2.2</w:t>
            </w:r>
          </w:p>
        </w:tc>
      </w:tr>
      <w:tr w:rsidR="00FE1804" w:rsidRPr="00FE1804" w:rsidTr="00FE180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FE1804" w:rsidRPr="00FE1804" w:rsidRDefault="00FE1804" w:rsidP="00FE1804">
            <w:pPr>
              <w:jc w:val="right"/>
              <w:rPr>
                <w:rFonts w:ascii="Calibri" w:eastAsia="Times New Roman" w:hAnsi="Calibri" w:cs="Times New Roman"/>
                <w:color w:val="000000"/>
              </w:rPr>
            </w:pPr>
            <w:r w:rsidRPr="00FE1804">
              <w:rPr>
                <w:rFonts w:ascii="Calibri" w:eastAsia="Times New Roman" w:hAnsi="Calibri" w:cs="Times New Roman"/>
                <w:color w:val="000000"/>
              </w:rPr>
              <w:t>Jan-17</w:t>
            </w:r>
          </w:p>
        </w:tc>
        <w:tc>
          <w:tcPr>
            <w:tcW w:w="96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62</w:t>
            </w:r>
          </w:p>
        </w:tc>
        <w:tc>
          <w:tcPr>
            <w:tcW w:w="185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10,459,446</w:t>
            </w:r>
          </w:p>
        </w:tc>
        <w:tc>
          <w:tcPr>
            <w:tcW w:w="162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168,701</w:t>
            </w:r>
          </w:p>
        </w:tc>
        <w:tc>
          <w:tcPr>
            <w:tcW w:w="153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148,050</w:t>
            </w:r>
          </w:p>
        </w:tc>
        <w:tc>
          <w:tcPr>
            <w:tcW w:w="117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251</w:t>
            </w:r>
          </w:p>
        </w:tc>
        <w:tc>
          <w:tcPr>
            <w:tcW w:w="117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2.2</w:t>
            </w:r>
          </w:p>
        </w:tc>
      </w:tr>
      <w:tr w:rsidR="00FE1804" w:rsidRPr="00FE1804" w:rsidTr="00FE1804">
        <w:trPr>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FE1804" w:rsidRPr="00FE1804" w:rsidRDefault="00FE1804" w:rsidP="00FE1804">
            <w:pPr>
              <w:jc w:val="right"/>
              <w:rPr>
                <w:rFonts w:ascii="Calibri" w:eastAsia="Times New Roman" w:hAnsi="Calibri" w:cs="Times New Roman"/>
                <w:color w:val="000000"/>
              </w:rPr>
            </w:pPr>
            <w:r w:rsidRPr="00FE1804">
              <w:rPr>
                <w:rFonts w:ascii="Calibri" w:eastAsia="Times New Roman" w:hAnsi="Calibri" w:cs="Times New Roman"/>
                <w:color w:val="000000"/>
              </w:rPr>
              <w:t>Feb-17</w:t>
            </w:r>
          </w:p>
        </w:tc>
        <w:tc>
          <w:tcPr>
            <w:tcW w:w="96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85</w:t>
            </w:r>
          </w:p>
        </w:tc>
        <w:tc>
          <w:tcPr>
            <w:tcW w:w="185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11,951,312</w:t>
            </w:r>
          </w:p>
        </w:tc>
        <w:tc>
          <w:tcPr>
            <w:tcW w:w="162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140,604</w:t>
            </w:r>
          </w:p>
        </w:tc>
        <w:tc>
          <w:tcPr>
            <w:tcW w:w="153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137,000</w:t>
            </w:r>
          </w:p>
        </w:tc>
        <w:tc>
          <w:tcPr>
            <w:tcW w:w="117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225</w:t>
            </w:r>
          </w:p>
        </w:tc>
        <w:tc>
          <w:tcPr>
            <w:tcW w:w="117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2.0</w:t>
            </w:r>
          </w:p>
        </w:tc>
      </w:tr>
      <w:tr w:rsidR="00FE1804" w:rsidRPr="00FE1804" w:rsidTr="00FE180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FE1804" w:rsidRPr="00FE1804" w:rsidRDefault="00FE1804" w:rsidP="00FE1804">
            <w:pPr>
              <w:jc w:val="right"/>
              <w:rPr>
                <w:rFonts w:ascii="Calibri" w:eastAsia="Times New Roman" w:hAnsi="Calibri" w:cs="Times New Roman"/>
                <w:color w:val="000000"/>
              </w:rPr>
            </w:pPr>
            <w:r w:rsidRPr="00FE1804">
              <w:rPr>
                <w:rFonts w:ascii="Calibri" w:eastAsia="Times New Roman" w:hAnsi="Calibri" w:cs="Times New Roman"/>
                <w:color w:val="000000"/>
              </w:rPr>
              <w:t>Mar-17</w:t>
            </w:r>
          </w:p>
        </w:tc>
        <w:tc>
          <w:tcPr>
            <w:tcW w:w="96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107</w:t>
            </w:r>
          </w:p>
        </w:tc>
        <w:tc>
          <w:tcPr>
            <w:tcW w:w="185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19,818,981</w:t>
            </w:r>
          </w:p>
        </w:tc>
        <w:tc>
          <w:tcPr>
            <w:tcW w:w="162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185,224</w:t>
            </w:r>
          </w:p>
        </w:tc>
        <w:tc>
          <w:tcPr>
            <w:tcW w:w="153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168,000</w:t>
            </w:r>
          </w:p>
        </w:tc>
        <w:tc>
          <w:tcPr>
            <w:tcW w:w="117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227</w:t>
            </w:r>
          </w:p>
        </w:tc>
        <w:tc>
          <w:tcPr>
            <w:tcW w:w="117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2.0</w:t>
            </w:r>
          </w:p>
        </w:tc>
      </w:tr>
      <w:tr w:rsidR="00FE1804" w:rsidRPr="00FE1804" w:rsidTr="00FE1804">
        <w:trPr>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FE1804" w:rsidRPr="00FE1804" w:rsidRDefault="00FE1804" w:rsidP="00FE1804">
            <w:pPr>
              <w:jc w:val="right"/>
              <w:rPr>
                <w:rFonts w:ascii="Calibri" w:eastAsia="Times New Roman" w:hAnsi="Calibri" w:cs="Times New Roman"/>
                <w:color w:val="000000"/>
              </w:rPr>
            </w:pPr>
            <w:r w:rsidRPr="00FE1804">
              <w:rPr>
                <w:rFonts w:ascii="Calibri" w:eastAsia="Times New Roman" w:hAnsi="Calibri" w:cs="Times New Roman"/>
                <w:color w:val="000000"/>
              </w:rPr>
              <w:t>Apr-17</w:t>
            </w:r>
          </w:p>
        </w:tc>
        <w:tc>
          <w:tcPr>
            <w:tcW w:w="96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124</w:t>
            </w:r>
          </w:p>
        </w:tc>
        <w:tc>
          <w:tcPr>
            <w:tcW w:w="185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21,194,116</w:t>
            </w:r>
          </w:p>
        </w:tc>
        <w:tc>
          <w:tcPr>
            <w:tcW w:w="162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170,920</w:t>
            </w:r>
          </w:p>
        </w:tc>
        <w:tc>
          <w:tcPr>
            <w:tcW w:w="153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159,900</w:t>
            </w:r>
          </w:p>
        </w:tc>
        <w:tc>
          <w:tcPr>
            <w:tcW w:w="117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227</w:t>
            </w:r>
          </w:p>
        </w:tc>
        <w:tc>
          <w:tcPr>
            <w:tcW w:w="117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2.0</w:t>
            </w:r>
          </w:p>
        </w:tc>
      </w:tr>
      <w:tr w:rsidR="00FE1804" w:rsidRPr="00FE1804" w:rsidTr="00FE180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FE1804" w:rsidRPr="00FE1804" w:rsidRDefault="00FE1804" w:rsidP="00FE1804">
            <w:pPr>
              <w:jc w:val="right"/>
              <w:rPr>
                <w:rFonts w:ascii="Calibri" w:eastAsia="Times New Roman" w:hAnsi="Calibri" w:cs="Times New Roman"/>
                <w:color w:val="000000"/>
              </w:rPr>
            </w:pPr>
            <w:r w:rsidRPr="00FE1804">
              <w:rPr>
                <w:rFonts w:ascii="Calibri" w:eastAsia="Times New Roman" w:hAnsi="Calibri" w:cs="Times New Roman"/>
                <w:color w:val="000000"/>
              </w:rPr>
              <w:t>May-17</w:t>
            </w:r>
          </w:p>
        </w:tc>
        <w:tc>
          <w:tcPr>
            <w:tcW w:w="96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143</w:t>
            </w:r>
          </w:p>
        </w:tc>
        <w:tc>
          <w:tcPr>
            <w:tcW w:w="185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24,618,141</w:t>
            </w:r>
          </w:p>
        </w:tc>
        <w:tc>
          <w:tcPr>
            <w:tcW w:w="162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172,155</w:t>
            </w:r>
          </w:p>
        </w:tc>
        <w:tc>
          <w:tcPr>
            <w:tcW w:w="153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147,250</w:t>
            </w:r>
          </w:p>
        </w:tc>
        <w:tc>
          <w:tcPr>
            <w:tcW w:w="117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233</w:t>
            </w:r>
          </w:p>
        </w:tc>
        <w:tc>
          <w:tcPr>
            <w:tcW w:w="117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2.1</w:t>
            </w:r>
          </w:p>
        </w:tc>
      </w:tr>
      <w:tr w:rsidR="00FE1804" w:rsidRPr="00FE1804" w:rsidTr="00FE1804">
        <w:trPr>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FE1804" w:rsidRPr="00FE1804" w:rsidRDefault="00FE1804" w:rsidP="00FE1804">
            <w:pPr>
              <w:jc w:val="right"/>
              <w:rPr>
                <w:rFonts w:ascii="Calibri" w:eastAsia="Times New Roman" w:hAnsi="Calibri" w:cs="Times New Roman"/>
                <w:color w:val="000000"/>
              </w:rPr>
            </w:pPr>
            <w:r w:rsidRPr="00FE1804">
              <w:rPr>
                <w:rFonts w:ascii="Calibri" w:eastAsia="Times New Roman" w:hAnsi="Calibri" w:cs="Times New Roman"/>
                <w:color w:val="000000"/>
              </w:rPr>
              <w:t>Jun-17</w:t>
            </w:r>
          </w:p>
        </w:tc>
        <w:tc>
          <w:tcPr>
            <w:tcW w:w="96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160</w:t>
            </w:r>
          </w:p>
        </w:tc>
        <w:tc>
          <w:tcPr>
            <w:tcW w:w="185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32,077,975</w:t>
            </w:r>
          </w:p>
        </w:tc>
        <w:tc>
          <w:tcPr>
            <w:tcW w:w="162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200,487</w:t>
            </w:r>
          </w:p>
        </w:tc>
        <w:tc>
          <w:tcPr>
            <w:tcW w:w="153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179,950</w:t>
            </w:r>
          </w:p>
        </w:tc>
        <w:tc>
          <w:tcPr>
            <w:tcW w:w="117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274</w:t>
            </w:r>
          </w:p>
        </w:tc>
        <w:tc>
          <w:tcPr>
            <w:tcW w:w="117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2.4</w:t>
            </w:r>
          </w:p>
        </w:tc>
      </w:tr>
      <w:tr w:rsidR="00FE1804" w:rsidRPr="00FE1804" w:rsidTr="00FE180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FE1804" w:rsidRPr="00FE1804" w:rsidRDefault="00FE1804" w:rsidP="00FE1804">
            <w:pPr>
              <w:jc w:val="right"/>
              <w:rPr>
                <w:rFonts w:ascii="Calibri" w:eastAsia="Times New Roman" w:hAnsi="Calibri" w:cs="Times New Roman"/>
                <w:color w:val="000000"/>
              </w:rPr>
            </w:pPr>
            <w:r w:rsidRPr="00FE1804">
              <w:rPr>
                <w:rFonts w:ascii="Calibri" w:eastAsia="Times New Roman" w:hAnsi="Calibri" w:cs="Times New Roman"/>
                <w:color w:val="000000"/>
              </w:rPr>
              <w:t>Jul-17</w:t>
            </w:r>
          </w:p>
        </w:tc>
        <w:tc>
          <w:tcPr>
            <w:tcW w:w="96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125</w:t>
            </w:r>
          </w:p>
        </w:tc>
        <w:tc>
          <w:tcPr>
            <w:tcW w:w="185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22,900,141</w:t>
            </w:r>
          </w:p>
        </w:tc>
        <w:tc>
          <w:tcPr>
            <w:tcW w:w="162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183,201</w:t>
            </w:r>
          </w:p>
        </w:tc>
        <w:tc>
          <w:tcPr>
            <w:tcW w:w="153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160,500</w:t>
            </w:r>
          </w:p>
        </w:tc>
        <w:tc>
          <w:tcPr>
            <w:tcW w:w="117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307</w:t>
            </w:r>
          </w:p>
        </w:tc>
        <w:tc>
          <w:tcPr>
            <w:tcW w:w="117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2.7</w:t>
            </w:r>
          </w:p>
        </w:tc>
      </w:tr>
      <w:tr w:rsidR="00FE1804" w:rsidRPr="00FE1804" w:rsidTr="00FE1804">
        <w:trPr>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FE1804" w:rsidRPr="00FE1804" w:rsidRDefault="00FE1804" w:rsidP="00FE1804">
            <w:pPr>
              <w:jc w:val="right"/>
              <w:rPr>
                <w:rFonts w:ascii="Calibri" w:eastAsia="Times New Roman" w:hAnsi="Calibri" w:cs="Times New Roman"/>
                <w:color w:val="000000"/>
              </w:rPr>
            </w:pPr>
            <w:r w:rsidRPr="00FE1804">
              <w:rPr>
                <w:rFonts w:ascii="Calibri" w:eastAsia="Times New Roman" w:hAnsi="Calibri" w:cs="Times New Roman"/>
                <w:color w:val="000000"/>
              </w:rPr>
              <w:t>Aug-17</w:t>
            </w:r>
          </w:p>
        </w:tc>
        <w:tc>
          <w:tcPr>
            <w:tcW w:w="96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114</w:t>
            </w:r>
          </w:p>
        </w:tc>
        <w:tc>
          <w:tcPr>
            <w:tcW w:w="185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23,005,847</w:t>
            </w:r>
          </w:p>
        </w:tc>
        <w:tc>
          <w:tcPr>
            <w:tcW w:w="162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201,806</w:t>
            </w:r>
          </w:p>
        </w:tc>
        <w:tc>
          <w:tcPr>
            <w:tcW w:w="153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162,500</w:t>
            </w:r>
          </w:p>
        </w:tc>
        <w:tc>
          <w:tcPr>
            <w:tcW w:w="117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310</w:t>
            </w:r>
          </w:p>
        </w:tc>
        <w:tc>
          <w:tcPr>
            <w:tcW w:w="1170" w:type="dxa"/>
            <w:hideMark/>
          </w:tcPr>
          <w:p w:rsidR="00FE1804" w:rsidRPr="00FE1804" w:rsidRDefault="00FE1804" w:rsidP="00FE18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2.7</w:t>
            </w:r>
          </w:p>
        </w:tc>
      </w:tr>
      <w:tr w:rsidR="00FE1804" w:rsidRPr="00FE1804" w:rsidTr="00FE180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FE1804" w:rsidRPr="00FE1804" w:rsidRDefault="00FE1804" w:rsidP="00FE1804">
            <w:pPr>
              <w:jc w:val="right"/>
              <w:rPr>
                <w:rFonts w:ascii="Calibri" w:eastAsia="Times New Roman" w:hAnsi="Calibri" w:cs="Times New Roman"/>
                <w:color w:val="000000"/>
              </w:rPr>
            </w:pPr>
            <w:r w:rsidRPr="00FE1804">
              <w:rPr>
                <w:rFonts w:ascii="Calibri" w:eastAsia="Times New Roman" w:hAnsi="Calibri" w:cs="Times New Roman"/>
                <w:color w:val="000000"/>
              </w:rPr>
              <w:t>Sep-17</w:t>
            </w:r>
          </w:p>
        </w:tc>
        <w:tc>
          <w:tcPr>
            <w:tcW w:w="96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111</w:t>
            </w:r>
          </w:p>
        </w:tc>
        <w:tc>
          <w:tcPr>
            <w:tcW w:w="185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22,996,507</w:t>
            </w:r>
          </w:p>
        </w:tc>
        <w:tc>
          <w:tcPr>
            <w:tcW w:w="162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207,176</w:t>
            </w:r>
          </w:p>
        </w:tc>
        <w:tc>
          <w:tcPr>
            <w:tcW w:w="153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180,000</w:t>
            </w:r>
          </w:p>
        </w:tc>
        <w:tc>
          <w:tcPr>
            <w:tcW w:w="117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312</w:t>
            </w:r>
          </w:p>
        </w:tc>
        <w:tc>
          <w:tcPr>
            <w:tcW w:w="1170" w:type="dxa"/>
            <w:hideMark/>
          </w:tcPr>
          <w:p w:rsidR="00FE1804" w:rsidRPr="00FE1804" w:rsidRDefault="00FE1804" w:rsidP="00FE18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E1804">
              <w:rPr>
                <w:rFonts w:ascii="Calibri" w:eastAsia="Times New Roman" w:hAnsi="Calibri" w:cs="Times New Roman"/>
                <w:color w:val="000000"/>
              </w:rPr>
              <w:t>2.8</w:t>
            </w:r>
          </w:p>
        </w:tc>
      </w:tr>
    </w:tbl>
    <w:p w:rsidR="00832EE1" w:rsidRPr="00FE1804" w:rsidRDefault="00FE1804" w:rsidP="00777264">
      <w:pPr>
        <w:shd w:val="clear" w:color="auto" w:fill="FFFFFF"/>
        <w:tabs>
          <w:tab w:val="left" w:pos="720"/>
        </w:tabs>
        <w:spacing w:after="0" w:line="300" w:lineRule="auto"/>
        <w:textAlignment w:val="baseline"/>
        <w:rPr>
          <w:sz w:val="20"/>
          <w:szCs w:val="20"/>
        </w:rPr>
      </w:pPr>
      <w:r w:rsidRPr="00FE1804">
        <w:rPr>
          <w:sz w:val="20"/>
          <w:szCs w:val="20"/>
        </w:rPr>
        <w:t>Source:  Texas A&amp;M Real Estate Center</w:t>
      </w:r>
    </w:p>
    <w:p w:rsidR="00832EE1" w:rsidRDefault="00832EE1" w:rsidP="00777264">
      <w:pPr>
        <w:shd w:val="clear" w:color="auto" w:fill="FFFFFF"/>
        <w:tabs>
          <w:tab w:val="left" w:pos="720"/>
        </w:tabs>
        <w:spacing w:after="0" w:line="300" w:lineRule="auto"/>
        <w:textAlignment w:val="baseline"/>
        <w:rPr>
          <w:rFonts w:ascii="Arial" w:eastAsia="Times New Roman" w:hAnsi="Arial" w:cs="Arial"/>
          <w:b/>
          <w:color w:val="555555"/>
          <w:sz w:val="20"/>
          <w:szCs w:val="20"/>
        </w:rPr>
      </w:pPr>
    </w:p>
    <w:p w:rsidR="00981DE9" w:rsidRDefault="00981DE9" w:rsidP="00777264">
      <w:pPr>
        <w:shd w:val="clear" w:color="auto" w:fill="FFFFFF"/>
        <w:tabs>
          <w:tab w:val="left" w:pos="720"/>
        </w:tabs>
        <w:spacing w:after="0" w:line="300" w:lineRule="auto"/>
        <w:textAlignment w:val="baseline"/>
        <w:rPr>
          <w:rFonts w:ascii="Arial" w:eastAsia="Times New Roman" w:hAnsi="Arial" w:cs="Arial"/>
          <w:b/>
          <w:color w:val="555555"/>
          <w:sz w:val="20"/>
          <w:szCs w:val="20"/>
        </w:rPr>
      </w:pPr>
      <w:r>
        <w:rPr>
          <w:noProof/>
        </w:rPr>
        <w:drawing>
          <wp:inline distT="0" distB="0" distL="0" distR="0" wp14:anchorId="55E057AB" wp14:editId="1A9014E3">
            <wp:extent cx="5991225" cy="2981325"/>
            <wp:effectExtent l="0" t="0" r="9525" b="9525"/>
            <wp:docPr id="13" name="Chart 13">
              <a:extLst xmlns:a="http://schemas.openxmlformats.org/drawingml/2006/main">
                <a:ext uri="{FF2B5EF4-FFF2-40B4-BE49-F238E27FC236}">
                  <a16:creationId xmlns:a16="http://schemas.microsoft.com/office/drawing/2014/main" id="{FCA6150D-426A-4BAD-AE2F-C703B0BB0A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AA4E74" w:rsidRPr="00B532E6" w:rsidRDefault="00100513" w:rsidP="00777264">
      <w:pPr>
        <w:shd w:val="clear" w:color="auto" w:fill="FFFFFF"/>
        <w:tabs>
          <w:tab w:val="left" w:pos="720"/>
        </w:tabs>
        <w:spacing w:after="0" w:line="300" w:lineRule="auto"/>
        <w:textAlignment w:val="baseline"/>
        <w:rPr>
          <w:rFonts w:eastAsia="Times New Roman" w:cs="Arial"/>
          <w:color w:val="555555"/>
          <w:sz w:val="18"/>
          <w:szCs w:val="18"/>
        </w:rPr>
      </w:pPr>
      <w:r>
        <w:rPr>
          <w:rFonts w:eastAsia="Times New Roman" w:cs="Arial"/>
          <w:color w:val="555555"/>
          <w:sz w:val="18"/>
          <w:szCs w:val="18"/>
        </w:rPr>
        <w:t xml:space="preserve">Source: </w:t>
      </w:r>
      <w:r w:rsidR="00B532E6" w:rsidRPr="00B532E6">
        <w:rPr>
          <w:rFonts w:eastAsia="Times New Roman" w:cs="Arial"/>
          <w:color w:val="555555"/>
          <w:sz w:val="18"/>
          <w:szCs w:val="18"/>
        </w:rPr>
        <w:t>Texas A&amp;M Real Estate Center</w:t>
      </w:r>
    </w:p>
    <w:p w:rsidR="00B532E6" w:rsidRDefault="00B532E6" w:rsidP="00777264">
      <w:pPr>
        <w:shd w:val="clear" w:color="auto" w:fill="FFFFFF"/>
        <w:tabs>
          <w:tab w:val="left" w:pos="720"/>
        </w:tabs>
        <w:spacing w:after="0" w:line="300" w:lineRule="auto"/>
        <w:textAlignment w:val="baseline"/>
        <w:rPr>
          <w:rFonts w:ascii="Arial" w:eastAsia="Times New Roman" w:hAnsi="Arial" w:cs="Arial"/>
          <w:color w:val="555555"/>
          <w:sz w:val="16"/>
          <w:szCs w:val="16"/>
        </w:rPr>
      </w:pPr>
    </w:p>
    <w:p w:rsidR="006B7FAD" w:rsidRDefault="00B532E6" w:rsidP="00777264">
      <w:pPr>
        <w:shd w:val="clear" w:color="auto" w:fill="FFFFFF"/>
        <w:tabs>
          <w:tab w:val="left" w:pos="720"/>
        </w:tabs>
        <w:spacing w:after="0" w:line="300" w:lineRule="auto"/>
        <w:textAlignment w:val="baseline"/>
        <w:rPr>
          <w:rFonts w:eastAsia="Times New Roman" w:cs="Arial"/>
          <w:color w:val="555555"/>
          <w:sz w:val="24"/>
          <w:szCs w:val="24"/>
        </w:rPr>
      </w:pPr>
      <w:r>
        <w:rPr>
          <w:rFonts w:eastAsia="Times New Roman" w:cs="Arial"/>
          <w:color w:val="555555"/>
          <w:sz w:val="24"/>
          <w:szCs w:val="24"/>
        </w:rPr>
        <w:tab/>
        <w:t xml:space="preserve">Figure </w:t>
      </w:r>
      <w:r w:rsidR="00394F1F">
        <w:rPr>
          <w:rFonts w:eastAsia="Times New Roman" w:cs="Arial"/>
          <w:color w:val="555555"/>
          <w:sz w:val="24"/>
          <w:szCs w:val="24"/>
        </w:rPr>
        <w:t>9</w:t>
      </w:r>
      <w:r>
        <w:rPr>
          <w:rFonts w:eastAsia="Times New Roman" w:cs="Arial"/>
          <w:color w:val="555555"/>
          <w:sz w:val="24"/>
          <w:szCs w:val="24"/>
        </w:rPr>
        <w:t xml:space="preserve"> shows </w:t>
      </w:r>
      <w:r w:rsidR="007F57C5">
        <w:rPr>
          <w:rFonts w:eastAsia="Times New Roman" w:cs="Arial"/>
          <w:color w:val="555555"/>
          <w:sz w:val="24"/>
          <w:szCs w:val="24"/>
        </w:rPr>
        <w:t xml:space="preserve">the </w:t>
      </w:r>
      <w:r>
        <w:rPr>
          <w:rFonts w:eastAsia="Times New Roman" w:cs="Arial"/>
          <w:color w:val="555555"/>
          <w:sz w:val="24"/>
          <w:szCs w:val="24"/>
        </w:rPr>
        <w:t xml:space="preserve">Waco MSA </w:t>
      </w:r>
      <w:r w:rsidR="006B7FAD">
        <w:rPr>
          <w:rFonts w:eastAsia="Times New Roman" w:cs="Arial"/>
          <w:color w:val="555555"/>
          <w:sz w:val="24"/>
          <w:szCs w:val="24"/>
        </w:rPr>
        <w:t>annual number of single family home</w:t>
      </w:r>
      <w:r>
        <w:rPr>
          <w:rFonts w:eastAsia="Times New Roman" w:cs="Arial"/>
          <w:color w:val="555555"/>
          <w:sz w:val="24"/>
          <w:szCs w:val="24"/>
        </w:rPr>
        <w:t xml:space="preserve"> building permits </w:t>
      </w:r>
      <w:r w:rsidR="006B7FAD">
        <w:rPr>
          <w:rFonts w:eastAsia="Times New Roman" w:cs="Arial"/>
          <w:color w:val="555555"/>
          <w:sz w:val="24"/>
          <w:szCs w:val="24"/>
        </w:rPr>
        <w:t>from the year 2000 through 2016.  Waco</w:t>
      </w:r>
      <w:r w:rsidR="00394F1F">
        <w:rPr>
          <w:rFonts w:eastAsia="Times New Roman" w:cs="Arial"/>
          <w:color w:val="555555"/>
          <w:sz w:val="24"/>
          <w:szCs w:val="24"/>
        </w:rPr>
        <w:t>’s</w:t>
      </w:r>
      <w:r w:rsidR="006B7FAD">
        <w:rPr>
          <w:rFonts w:eastAsia="Times New Roman" w:cs="Arial"/>
          <w:color w:val="555555"/>
          <w:sz w:val="24"/>
          <w:szCs w:val="24"/>
        </w:rPr>
        <w:t xml:space="preserve"> annual rate of single family building permits</w:t>
      </w:r>
      <w:r w:rsidR="00394F1F">
        <w:rPr>
          <w:rFonts w:eastAsia="Times New Roman" w:cs="Arial"/>
          <w:color w:val="555555"/>
          <w:sz w:val="24"/>
          <w:szCs w:val="24"/>
        </w:rPr>
        <w:t xml:space="preserve"> peaked in 2005 before decreasing significantly </w:t>
      </w:r>
      <w:r w:rsidR="006B7FAD">
        <w:rPr>
          <w:rFonts w:eastAsia="Times New Roman" w:cs="Arial"/>
          <w:color w:val="555555"/>
          <w:sz w:val="24"/>
          <w:szCs w:val="24"/>
        </w:rPr>
        <w:t xml:space="preserve">in response to the mortgage crisis that led to the 2008-09 recession.  </w:t>
      </w:r>
      <w:r w:rsidR="00394F1F">
        <w:rPr>
          <w:rFonts w:eastAsia="Times New Roman" w:cs="Arial"/>
          <w:color w:val="555555"/>
          <w:sz w:val="24"/>
          <w:szCs w:val="24"/>
        </w:rPr>
        <w:t xml:space="preserve">After three years of very little growth </w:t>
      </w:r>
      <w:r w:rsidR="006B7FAD">
        <w:rPr>
          <w:rFonts w:eastAsia="Times New Roman" w:cs="Arial"/>
          <w:color w:val="555555"/>
          <w:sz w:val="24"/>
          <w:szCs w:val="24"/>
        </w:rPr>
        <w:t>the rate of home construction</w:t>
      </w:r>
      <w:r w:rsidR="00394F1F">
        <w:rPr>
          <w:rFonts w:eastAsia="Times New Roman" w:cs="Arial"/>
          <w:color w:val="555555"/>
          <w:sz w:val="24"/>
          <w:szCs w:val="24"/>
        </w:rPr>
        <w:t xml:space="preserve"> increased </w:t>
      </w:r>
      <w:r w:rsidR="00100513">
        <w:rPr>
          <w:rFonts w:eastAsia="Times New Roman" w:cs="Arial"/>
          <w:color w:val="555555"/>
          <w:sz w:val="24"/>
          <w:szCs w:val="24"/>
        </w:rPr>
        <w:t>until 2013 and</w:t>
      </w:r>
      <w:r w:rsidR="007F57C5">
        <w:rPr>
          <w:rFonts w:eastAsia="Times New Roman" w:cs="Arial"/>
          <w:color w:val="555555"/>
          <w:sz w:val="24"/>
          <w:szCs w:val="24"/>
        </w:rPr>
        <w:t>,</w:t>
      </w:r>
      <w:r w:rsidR="00100513">
        <w:rPr>
          <w:rFonts w:eastAsia="Times New Roman" w:cs="Arial"/>
          <w:color w:val="555555"/>
          <w:sz w:val="24"/>
          <w:szCs w:val="24"/>
        </w:rPr>
        <w:t xml:space="preserve"> except for seasonal changes (shown in figure 10)</w:t>
      </w:r>
      <w:r w:rsidR="007F57C5">
        <w:rPr>
          <w:rFonts w:eastAsia="Times New Roman" w:cs="Arial"/>
          <w:color w:val="555555"/>
          <w:sz w:val="24"/>
          <w:szCs w:val="24"/>
        </w:rPr>
        <w:t>,</w:t>
      </w:r>
      <w:r w:rsidR="00100513">
        <w:rPr>
          <w:rFonts w:eastAsia="Times New Roman" w:cs="Arial"/>
          <w:color w:val="555555"/>
          <w:sz w:val="24"/>
          <w:szCs w:val="24"/>
        </w:rPr>
        <w:t xml:space="preserve"> has increased at a relatively stable annual rate since that time.  </w:t>
      </w:r>
    </w:p>
    <w:p w:rsidR="006B7FAD" w:rsidRPr="00100513" w:rsidRDefault="006B7FAD" w:rsidP="00777264">
      <w:pPr>
        <w:shd w:val="clear" w:color="auto" w:fill="FFFFFF"/>
        <w:tabs>
          <w:tab w:val="left" w:pos="720"/>
        </w:tabs>
        <w:spacing w:after="0" w:line="300" w:lineRule="auto"/>
        <w:textAlignment w:val="baseline"/>
        <w:rPr>
          <w:rFonts w:eastAsia="Times New Roman" w:cs="Arial"/>
          <w:color w:val="555555"/>
          <w:sz w:val="16"/>
          <w:szCs w:val="16"/>
        </w:rPr>
      </w:pPr>
    </w:p>
    <w:p w:rsidR="006B7FAD" w:rsidRDefault="00394F1F" w:rsidP="00777264">
      <w:pPr>
        <w:shd w:val="clear" w:color="auto" w:fill="FFFFFF"/>
        <w:tabs>
          <w:tab w:val="left" w:pos="720"/>
        </w:tabs>
        <w:spacing w:after="0" w:line="300" w:lineRule="auto"/>
        <w:textAlignment w:val="baseline"/>
        <w:rPr>
          <w:rFonts w:eastAsia="Times New Roman" w:cs="Arial"/>
          <w:color w:val="555555"/>
          <w:sz w:val="24"/>
          <w:szCs w:val="24"/>
        </w:rPr>
      </w:pPr>
      <w:r>
        <w:rPr>
          <w:noProof/>
        </w:rPr>
        <w:drawing>
          <wp:inline distT="0" distB="0" distL="0" distR="0" wp14:anchorId="25391538" wp14:editId="1D331AB9">
            <wp:extent cx="5848350" cy="2952750"/>
            <wp:effectExtent l="0" t="0" r="0" b="0"/>
            <wp:docPr id="11" name="Chart 11">
              <a:extLst xmlns:a="http://schemas.openxmlformats.org/drawingml/2006/main">
                <a:ext uri="{FF2B5EF4-FFF2-40B4-BE49-F238E27FC236}">
                  <a16:creationId xmlns:a16="http://schemas.microsoft.com/office/drawing/2014/main" id="{9D191D25-D604-4A87-B1CB-991854D450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100513" w:rsidRPr="00B532E6" w:rsidRDefault="00100513" w:rsidP="00100513">
      <w:pPr>
        <w:shd w:val="clear" w:color="auto" w:fill="FFFFFF"/>
        <w:tabs>
          <w:tab w:val="left" w:pos="720"/>
        </w:tabs>
        <w:spacing w:after="0" w:line="300" w:lineRule="auto"/>
        <w:textAlignment w:val="baseline"/>
        <w:rPr>
          <w:rFonts w:eastAsia="Times New Roman" w:cs="Arial"/>
          <w:color w:val="555555"/>
          <w:sz w:val="18"/>
          <w:szCs w:val="18"/>
        </w:rPr>
      </w:pPr>
      <w:r>
        <w:rPr>
          <w:rFonts w:eastAsia="Times New Roman" w:cs="Arial"/>
          <w:color w:val="555555"/>
          <w:sz w:val="18"/>
          <w:szCs w:val="18"/>
        </w:rPr>
        <w:t xml:space="preserve">Source: </w:t>
      </w:r>
      <w:r w:rsidRPr="00B532E6">
        <w:rPr>
          <w:rFonts w:eastAsia="Times New Roman" w:cs="Arial"/>
          <w:color w:val="555555"/>
          <w:sz w:val="18"/>
          <w:szCs w:val="18"/>
        </w:rPr>
        <w:t>Texas A&amp;M Real Estate Center</w:t>
      </w:r>
    </w:p>
    <w:p w:rsidR="00092E31" w:rsidRDefault="00BC4C96" w:rsidP="00777264">
      <w:pPr>
        <w:shd w:val="clear" w:color="auto" w:fill="FFFFFF"/>
        <w:tabs>
          <w:tab w:val="left" w:pos="720"/>
        </w:tabs>
        <w:spacing w:after="0" w:line="300" w:lineRule="auto"/>
        <w:textAlignment w:val="baseline"/>
        <w:rPr>
          <w:rFonts w:eastAsia="Times New Roman" w:cs="Arial"/>
          <w:color w:val="555555"/>
          <w:sz w:val="24"/>
          <w:szCs w:val="24"/>
        </w:rPr>
      </w:pPr>
      <w:r>
        <w:rPr>
          <w:rFonts w:eastAsia="Times New Roman" w:cs="Arial"/>
          <w:color w:val="555555"/>
          <w:sz w:val="24"/>
          <w:szCs w:val="24"/>
        </w:rPr>
        <w:tab/>
      </w:r>
      <w:r w:rsidR="00092E31">
        <w:rPr>
          <w:rFonts w:eastAsia="Times New Roman" w:cs="Arial"/>
          <w:color w:val="555555"/>
          <w:sz w:val="24"/>
          <w:szCs w:val="24"/>
        </w:rPr>
        <w:t xml:space="preserve">Not surprisingly, a recent Census Bureau study finds that 86% of multiunit structures are rented, while 87% of single-family housing units are owner-occupied. </w:t>
      </w:r>
      <w:r w:rsidR="00895693">
        <w:rPr>
          <w:rFonts w:eastAsia="Times New Roman" w:cs="Arial"/>
          <w:color w:val="555555"/>
          <w:sz w:val="24"/>
          <w:szCs w:val="24"/>
        </w:rPr>
        <w:t xml:space="preserve"> </w:t>
      </w:r>
      <w:r w:rsidR="00092E31">
        <w:rPr>
          <w:rFonts w:eastAsia="Times New Roman" w:cs="Arial"/>
          <w:color w:val="555555"/>
          <w:sz w:val="24"/>
          <w:szCs w:val="24"/>
        </w:rPr>
        <w:t xml:space="preserve">The U.S. population is becoming increasingly urbanized, doubling in relative size over the past century from 39.6% in 1990 to 79% in 2000.  More recently the urban population rose from 80.7% in 2010 to 85.6% in 2015.  Even more significant is that from 2000 to 2010 most of the urban growth took place in the suburbs, but from 2010 to 2015 this pattern shifted in favor of growth in the urban core as young, educated Millennials (1981-1997 birth cohort) increasingly delayed family formation and sought more densely populated areas that increased the demand for multiunit housing. </w:t>
      </w:r>
    </w:p>
    <w:p w:rsidR="00957622" w:rsidRDefault="00092E31" w:rsidP="00340C19">
      <w:pPr>
        <w:shd w:val="clear" w:color="auto" w:fill="FFFFFF"/>
        <w:tabs>
          <w:tab w:val="left" w:pos="720"/>
        </w:tabs>
        <w:spacing w:after="0" w:line="300" w:lineRule="auto"/>
        <w:textAlignment w:val="baseline"/>
        <w:rPr>
          <w:rFonts w:eastAsia="Times New Roman" w:cs="Arial"/>
          <w:color w:val="555555"/>
          <w:sz w:val="24"/>
          <w:szCs w:val="24"/>
        </w:rPr>
      </w:pPr>
      <w:r>
        <w:rPr>
          <w:rFonts w:eastAsia="Times New Roman" w:cs="Arial"/>
          <w:color w:val="555555"/>
          <w:sz w:val="24"/>
          <w:szCs w:val="24"/>
        </w:rPr>
        <w:tab/>
      </w:r>
      <w:r w:rsidR="00BC4C96">
        <w:rPr>
          <w:rFonts w:eastAsia="Times New Roman" w:cs="Arial"/>
          <w:color w:val="555555"/>
          <w:sz w:val="24"/>
          <w:szCs w:val="24"/>
        </w:rPr>
        <w:t xml:space="preserve">Over the most recent three-year period </w:t>
      </w:r>
      <w:r>
        <w:rPr>
          <w:rFonts w:eastAsia="Times New Roman" w:cs="Arial"/>
          <w:color w:val="555555"/>
          <w:sz w:val="24"/>
          <w:szCs w:val="24"/>
        </w:rPr>
        <w:t>the Waco MSA has experienced</w:t>
      </w:r>
      <w:r w:rsidR="00BC4C96">
        <w:rPr>
          <w:rFonts w:eastAsia="Times New Roman" w:cs="Arial"/>
          <w:color w:val="555555"/>
          <w:sz w:val="24"/>
          <w:szCs w:val="24"/>
        </w:rPr>
        <w:t xml:space="preserve"> a substantial increase in the number of multiunit housing permits.  </w:t>
      </w:r>
      <w:r w:rsidR="00C001BF">
        <w:rPr>
          <w:rFonts w:eastAsia="Times New Roman" w:cs="Arial"/>
          <w:color w:val="555555"/>
          <w:sz w:val="24"/>
          <w:szCs w:val="24"/>
        </w:rPr>
        <w:t xml:space="preserve">This pattern of urban housing demand </w:t>
      </w:r>
      <w:r w:rsidR="00236716">
        <w:rPr>
          <w:rFonts w:eastAsia="Times New Roman" w:cs="Arial"/>
          <w:color w:val="555555"/>
          <w:sz w:val="24"/>
          <w:szCs w:val="24"/>
        </w:rPr>
        <w:t xml:space="preserve">is </w:t>
      </w:r>
      <w:r w:rsidR="00C001BF">
        <w:rPr>
          <w:rFonts w:eastAsia="Times New Roman" w:cs="Arial"/>
          <w:color w:val="555555"/>
          <w:sz w:val="24"/>
          <w:szCs w:val="24"/>
        </w:rPr>
        <w:t>being observed in cities throughout the country</w:t>
      </w:r>
      <w:r w:rsidR="00236716">
        <w:rPr>
          <w:rFonts w:eastAsia="Times New Roman" w:cs="Arial"/>
          <w:color w:val="555555"/>
          <w:sz w:val="24"/>
          <w:szCs w:val="24"/>
        </w:rPr>
        <w:t xml:space="preserve"> based on two primary reasons that have emerged since the Great Recession; first, the passage of Baby Boomers into their senior years</w:t>
      </w:r>
      <w:r w:rsidR="00EA3427">
        <w:rPr>
          <w:rFonts w:eastAsia="Times New Roman" w:cs="Arial"/>
          <w:color w:val="555555"/>
          <w:sz w:val="24"/>
          <w:szCs w:val="24"/>
        </w:rPr>
        <w:t xml:space="preserve"> who downsize for larger single-unit housing into multiunit housing</w:t>
      </w:r>
      <w:r w:rsidR="00236716">
        <w:rPr>
          <w:rFonts w:eastAsia="Times New Roman" w:cs="Arial"/>
          <w:color w:val="555555"/>
          <w:sz w:val="24"/>
          <w:szCs w:val="24"/>
        </w:rPr>
        <w:t xml:space="preserve"> </w:t>
      </w:r>
      <w:r w:rsidR="00895693">
        <w:rPr>
          <w:rFonts w:eastAsia="Times New Roman" w:cs="Arial"/>
          <w:color w:val="555555"/>
          <w:sz w:val="24"/>
          <w:szCs w:val="24"/>
        </w:rPr>
        <w:t xml:space="preserve">and assisted living centers, </w:t>
      </w:r>
      <w:r w:rsidR="00236716">
        <w:rPr>
          <w:rFonts w:eastAsia="Times New Roman" w:cs="Arial"/>
          <w:color w:val="555555"/>
          <w:sz w:val="24"/>
          <w:szCs w:val="24"/>
        </w:rPr>
        <w:t>and, second, the preference of Millennials drawn to the urban core</w:t>
      </w:r>
      <w:r w:rsidR="00EA3427">
        <w:rPr>
          <w:rFonts w:eastAsia="Times New Roman" w:cs="Arial"/>
          <w:color w:val="555555"/>
          <w:sz w:val="24"/>
          <w:szCs w:val="24"/>
        </w:rPr>
        <w:t xml:space="preserve">, often </w:t>
      </w:r>
      <w:r>
        <w:rPr>
          <w:rFonts w:eastAsia="Times New Roman" w:cs="Arial"/>
          <w:color w:val="555555"/>
          <w:sz w:val="24"/>
          <w:szCs w:val="24"/>
        </w:rPr>
        <w:t>to</w:t>
      </w:r>
      <w:r w:rsidR="00EA3427">
        <w:rPr>
          <w:rFonts w:eastAsia="Times New Roman" w:cs="Arial"/>
          <w:color w:val="555555"/>
          <w:sz w:val="24"/>
          <w:szCs w:val="24"/>
        </w:rPr>
        <w:t xml:space="preserve"> be closer to </w:t>
      </w:r>
      <w:r w:rsidR="00895693">
        <w:rPr>
          <w:rFonts w:eastAsia="Times New Roman" w:cs="Arial"/>
          <w:color w:val="555555"/>
          <w:sz w:val="24"/>
          <w:szCs w:val="24"/>
        </w:rPr>
        <w:t xml:space="preserve">work and </w:t>
      </w:r>
      <w:r w:rsidR="00EA3427">
        <w:rPr>
          <w:rFonts w:eastAsia="Times New Roman" w:cs="Arial"/>
          <w:color w:val="555555"/>
          <w:sz w:val="24"/>
          <w:szCs w:val="24"/>
        </w:rPr>
        <w:t>nonwork activities such as shopping</w:t>
      </w:r>
      <w:r w:rsidR="00E72C3D">
        <w:rPr>
          <w:rFonts w:eastAsia="Times New Roman" w:cs="Arial"/>
          <w:color w:val="555555"/>
          <w:sz w:val="24"/>
          <w:szCs w:val="24"/>
        </w:rPr>
        <w:t xml:space="preserve"> and</w:t>
      </w:r>
      <w:r w:rsidR="00EA3427">
        <w:rPr>
          <w:rFonts w:eastAsia="Times New Roman" w:cs="Arial"/>
          <w:color w:val="555555"/>
          <w:sz w:val="24"/>
          <w:szCs w:val="24"/>
        </w:rPr>
        <w:t xml:space="preserve"> </w:t>
      </w:r>
      <w:r w:rsidR="00E72C3D">
        <w:rPr>
          <w:rFonts w:eastAsia="Times New Roman" w:cs="Arial"/>
          <w:color w:val="555555"/>
          <w:sz w:val="24"/>
          <w:szCs w:val="24"/>
        </w:rPr>
        <w:t>recreation.</w:t>
      </w:r>
      <w:r w:rsidR="00236716">
        <w:rPr>
          <w:rFonts w:eastAsia="Times New Roman" w:cs="Arial"/>
          <w:color w:val="555555"/>
          <w:sz w:val="24"/>
          <w:szCs w:val="24"/>
        </w:rPr>
        <w:t xml:space="preserve">  A third</w:t>
      </w:r>
      <w:r w:rsidR="00E72C3D">
        <w:rPr>
          <w:rFonts w:eastAsia="Times New Roman" w:cs="Arial"/>
          <w:color w:val="555555"/>
          <w:sz w:val="24"/>
          <w:szCs w:val="24"/>
        </w:rPr>
        <w:t xml:space="preserve">, more local </w:t>
      </w:r>
      <w:r w:rsidR="00236716">
        <w:rPr>
          <w:rFonts w:eastAsia="Times New Roman" w:cs="Arial"/>
          <w:color w:val="555555"/>
          <w:sz w:val="24"/>
          <w:szCs w:val="24"/>
        </w:rPr>
        <w:t xml:space="preserve">influence </w:t>
      </w:r>
      <w:r w:rsidR="00EA3427">
        <w:rPr>
          <w:rFonts w:eastAsia="Times New Roman" w:cs="Arial"/>
          <w:color w:val="555555"/>
          <w:sz w:val="24"/>
          <w:szCs w:val="24"/>
        </w:rPr>
        <w:t xml:space="preserve">is </w:t>
      </w:r>
      <w:r w:rsidR="00E72C3D">
        <w:rPr>
          <w:rFonts w:eastAsia="Times New Roman" w:cs="Arial"/>
          <w:color w:val="555555"/>
          <w:sz w:val="24"/>
          <w:szCs w:val="24"/>
        </w:rPr>
        <w:t xml:space="preserve">the </w:t>
      </w:r>
      <w:r w:rsidR="00BC4C96">
        <w:rPr>
          <w:rFonts w:eastAsia="Times New Roman" w:cs="Arial"/>
          <w:color w:val="555555"/>
          <w:sz w:val="24"/>
          <w:szCs w:val="24"/>
        </w:rPr>
        <w:t xml:space="preserve">growth in Baylor student enrollment </w:t>
      </w:r>
      <w:r w:rsidR="00EA3427">
        <w:rPr>
          <w:rFonts w:eastAsia="Times New Roman" w:cs="Arial"/>
          <w:color w:val="555555"/>
          <w:sz w:val="24"/>
          <w:szCs w:val="24"/>
        </w:rPr>
        <w:t xml:space="preserve">and former students who seek investment opportunities </w:t>
      </w:r>
      <w:r w:rsidR="00E72C3D">
        <w:rPr>
          <w:rFonts w:eastAsia="Times New Roman" w:cs="Arial"/>
          <w:color w:val="555555"/>
          <w:sz w:val="24"/>
          <w:szCs w:val="24"/>
        </w:rPr>
        <w:t xml:space="preserve">in the </w:t>
      </w:r>
      <w:r w:rsidR="00895693">
        <w:rPr>
          <w:rFonts w:eastAsia="Times New Roman" w:cs="Arial"/>
          <w:color w:val="555555"/>
          <w:sz w:val="24"/>
          <w:szCs w:val="24"/>
        </w:rPr>
        <w:t>urban core</w:t>
      </w:r>
      <w:r w:rsidR="00E72C3D">
        <w:rPr>
          <w:rFonts w:eastAsia="Times New Roman" w:cs="Arial"/>
          <w:color w:val="555555"/>
          <w:sz w:val="24"/>
          <w:szCs w:val="24"/>
        </w:rPr>
        <w:t xml:space="preserve"> area. </w:t>
      </w:r>
      <w:r w:rsidR="00B241CB">
        <w:rPr>
          <w:rFonts w:eastAsia="Times New Roman" w:cs="Arial"/>
          <w:color w:val="555555"/>
          <w:sz w:val="24"/>
          <w:szCs w:val="24"/>
        </w:rPr>
        <w:t xml:space="preserve"> </w:t>
      </w:r>
      <w:r w:rsidR="00E72C3D">
        <w:rPr>
          <w:rFonts w:eastAsia="Times New Roman" w:cs="Arial"/>
          <w:color w:val="555555"/>
          <w:sz w:val="24"/>
          <w:szCs w:val="24"/>
        </w:rPr>
        <w:t xml:space="preserve">The majority live in multiunit apartments </w:t>
      </w:r>
      <w:r w:rsidR="00B241CB">
        <w:rPr>
          <w:rFonts w:eastAsia="Times New Roman" w:cs="Arial"/>
          <w:color w:val="555555"/>
          <w:sz w:val="24"/>
          <w:szCs w:val="24"/>
        </w:rPr>
        <w:t>that are consistent with their relatively small space requirements</w:t>
      </w:r>
      <w:r w:rsidR="005528ED">
        <w:rPr>
          <w:rFonts w:eastAsia="Times New Roman" w:cs="Arial"/>
          <w:color w:val="555555"/>
          <w:sz w:val="24"/>
          <w:szCs w:val="24"/>
        </w:rPr>
        <w:t>.</w:t>
      </w:r>
    </w:p>
    <w:p w:rsidR="00CA6F4A" w:rsidRDefault="00CA6F4A" w:rsidP="00340C19">
      <w:pPr>
        <w:spacing w:after="0" w:line="295" w:lineRule="auto"/>
        <w:rPr>
          <w:rFonts w:eastAsia="Times New Roman" w:cs="Arial"/>
          <w:color w:val="555555"/>
          <w:sz w:val="24"/>
          <w:szCs w:val="24"/>
        </w:rPr>
      </w:pPr>
      <w:r w:rsidRPr="00181FFF">
        <w:rPr>
          <w:rFonts w:eastAsia="Times New Roman" w:cs="Arial"/>
          <w:noProof/>
          <w:color w:val="555555"/>
          <w:sz w:val="24"/>
          <w:szCs w:val="24"/>
        </w:rPr>
        <mc:AlternateContent>
          <mc:Choice Requires="wps">
            <w:drawing>
              <wp:anchor distT="45720" distB="45720" distL="114300" distR="114300" simplePos="0" relativeHeight="251667456" behindDoc="0" locked="0" layoutInCell="1" allowOverlap="1" wp14:anchorId="38CCC9C5" wp14:editId="2365525A">
                <wp:simplePos x="0" y="0"/>
                <wp:positionH relativeFrom="margin">
                  <wp:align>left</wp:align>
                </wp:positionH>
                <wp:positionV relativeFrom="paragraph">
                  <wp:posOffset>300355</wp:posOffset>
                </wp:positionV>
                <wp:extent cx="3486150" cy="342900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429000"/>
                        </a:xfrm>
                        <a:prstGeom prst="rect">
                          <a:avLst/>
                        </a:prstGeom>
                        <a:solidFill>
                          <a:srgbClr val="FFFFFF"/>
                        </a:solidFill>
                        <a:ln w="9525">
                          <a:noFill/>
                          <a:miter lim="800000"/>
                          <a:headEnd/>
                          <a:tailEnd/>
                        </a:ln>
                      </wps:spPr>
                      <wps:txbx>
                        <w:txbxContent>
                          <w:p w:rsidR="00AF45DC" w:rsidRPr="00181FFF" w:rsidRDefault="00AF45DC" w:rsidP="00CA6F4A">
                            <w:pPr>
                              <w:spacing w:after="0" w:line="240" w:lineRule="auto"/>
                              <w:jc w:val="center"/>
                              <w:rPr>
                                <w:b/>
                              </w:rPr>
                            </w:pPr>
                            <w:r w:rsidRPr="00181FFF">
                              <w:rPr>
                                <w:b/>
                              </w:rPr>
                              <w:t>Table 8</w:t>
                            </w:r>
                          </w:p>
                          <w:p w:rsidR="00AF45DC" w:rsidRDefault="00AF45DC" w:rsidP="00CA6F4A">
                            <w:pPr>
                              <w:spacing w:after="0" w:line="240" w:lineRule="auto"/>
                              <w:jc w:val="center"/>
                              <w:rPr>
                                <w:b/>
                              </w:rPr>
                            </w:pPr>
                            <w:r w:rsidRPr="00181FFF">
                              <w:rPr>
                                <w:b/>
                              </w:rPr>
                              <w:t xml:space="preserve">Central </w:t>
                            </w:r>
                            <w:r w:rsidRPr="003D33A1">
                              <w:rPr>
                                <w:b/>
                              </w:rPr>
                              <w:t>Texas</w:t>
                            </w:r>
                            <w:r w:rsidRPr="00181FFF">
                              <w:rPr>
                                <w:b/>
                              </w:rPr>
                              <w:t xml:space="preserve"> Cities Housing Affordability</w:t>
                            </w:r>
                            <w:r>
                              <w:rPr>
                                <w:b/>
                              </w:rPr>
                              <w:t xml:space="preserve"> </w:t>
                            </w:r>
                          </w:p>
                          <w:p w:rsidR="00AF45DC" w:rsidRPr="00181FFF" w:rsidRDefault="00AF45DC" w:rsidP="00CA6F4A">
                            <w:pPr>
                              <w:spacing w:after="0" w:line="240" w:lineRule="auto"/>
                              <w:jc w:val="center"/>
                              <w:rPr>
                                <w:b/>
                              </w:rPr>
                            </w:pPr>
                            <w:r>
                              <w:rPr>
                                <w:b/>
                              </w:rPr>
                              <w:t>3</w:t>
                            </w:r>
                            <w:r w:rsidRPr="00CA6F4A">
                              <w:rPr>
                                <w:b/>
                                <w:vertAlign w:val="superscript"/>
                              </w:rPr>
                              <w:t>rd</w:t>
                            </w:r>
                            <w:r>
                              <w:rPr>
                                <w:b/>
                              </w:rPr>
                              <w:t xml:space="preserve"> Quarter 2017</w:t>
                            </w:r>
                          </w:p>
                          <w:p w:rsidR="00AF45DC" w:rsidRPr="00181FFF" w:rsidRDefault="00AF45DC" w:rsidP="00CA6F4A">
                            <w:pPr>
                              <w:spacing w:after="0" w:line="240" w:lineRule="auto"/>
                              <w:rPr>
                                <w:sz w:val="16"/>
                                <w:szCs w:val="16"/>
                              </w:rPr>
                            </w:pPr>
                          </w:p>
                          <w:tbl>
                            <w:tblPr>
                              <w:tblW w:w="5125" w:type="dxa"/>
                              <w:tblLook w:val="04A0" w:firstRow="1" w:lastRow="0" w:firstColumn="1" w:lastColumn="0" w:noHBand="0" w:noVBand="1"/>
                            </w:tblPr>
                            <w:tblGrid>
                              <w:gridCol w:w="2960"/>
                              <w:gridCol w:w="2165"/>
                            </w:tblGrid>
                            <w:tr w:rsidR="00AF45DC" w:rsidRPr="00181FFF" w:rsidTr="00181FFF">
                              <w:trPr>
                                <w:trHeight w:val="48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5DC" w:rsidRPr="00181FFF" w:rsidRDefault="00AF45DC" w:rsidP="00181FFF">
                                  <w:pPr>
                                    <w:spacing w:after="0" w:line="240" w:lineRule="auto"/>
                                    <w:jc w:val="center"/>
                                    <w:rPr>
                                      <w:rFonts w:ascii="Calibri" w:eastAsia="Times New Roman" w:hAnsi="Calibri" w:cs="Times New Roman"/>
                                      <w:b/>
                                      <w:bCs/>
                                      <w:color w:val="000000"/>
                                      <w:sz w:val="24"/>
                                      <w:szCs w:val="24"/>
                                    </w:rPr>
                                  </w:pPr>
                                  <w:r w:rsidRPr="00181FFF">
                                    <w:rPr>
                                      <w:rFonts w:ascii="Calibri" w:eastAsia="Times New Roman" w:hAnsi="Calibri" w:cs="Times New Roman"/>
                                      <w:b/>
                                      <w:bCs/>
                                      <w:color w:val="000000"/>
                                      <w:sz w:val="24"/>
                                      <w:szCs w:val="24"/>
                                    </w:rPr>
                                    <w:t xml:space="preserve">     Housing Area</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5DC" w:rsidRPr="00181FFF" w:rsidRDefault="00AF45DC" w:rsidP="00181FF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w:t>
                                  </w:r>
                                  <w:r w:rsidRPr="00181FFF">
                                    <w:rPr>
                                      <w:rFonts w:ascii="Calibri" w:eastAsia="Times New Roman" w:hAnsi="Calibri" w:cs="Times New Roman"/>
                                      <w:b/>
                                      <w:bCs/>
                                      <w:color w:val="000000"/>
                                      <w:sz w:val="24"/>
                                      <w:szCs w:val="24"/>
                                    </w:rPr>
                                    <w:t>THAI</w:t>
                                  </w:r>
                                </w:p>
                              </w:tc>
                            </w:tr>
                            <w:tr w:rsidR="00AF45DC" w:rsidRPr="00181FFF" w:rsidTr="00181FFF">
                              <w:trPr>
                                <w:trHeight w:val="480"/>
                              </w:trPr>
                              <w:tc>
                                <w:tcPr>
                                  <w:tcW w:w="2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AF45DC" w:rsidRPr="00181FFF" w:rsidRDefault="00AF45DC" w:rsidP="00181FFF">
                                  <w:pPr>
                                    <w:spacing w:after="0" w:line="240" w:lineRule="auto"/>
                                    <w:rPr>
                                      <w:rFonts w:ascii="Calibri" w:eastAsia="Times New Roman" w:hAnsi="Calibri" w:cs="Times New Roman"/>
                                      <w:color w:val="000000"/>
                                      <w:sz w:val="24"/>
                                      <w:szCs w:val="24"/>
                                    </w:rPr>
                                  </w:pPr>
                                  <w:r w:rsidRPr="00181FFF">
                                    <w:rPr>
                                      <w:rFonts w:ascii="Calibri" w:eastAsia="Times New Roman" w:hAnsi="Calibri" w:cs="Times New Roman"/>
                                      <w:color w:val="000000"/>
                                      <w:sz w:val="24"/>
                                      <w:szCs w:val="24"/>
                                    </w:rPr>
                                    <w:t>Dallas-Plano-Irving</w:t>
                                  </w:r>
                                </w:p>
                              </w:tc>
                              <w:tc>
                                <w:tcPr>
                                  <w:tcW w:w="216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AF45DC" w:rsidRPr="00181FFF" w:rsidRDefault="00AF45DC" w:rsidP="00181FFF">
                                  <w:pPr>
                                    <w:spacing w:after="0" w:line="240" w:lineRule="auto"/>
                                    <w:jc w:val="center"/>
                                    <w:rPr>
                                      <w:rFonts w:ascii="Calibri" w:eastAsia="Times New Roman" w:hAnsi="Calibri" w:cs="Times New Roman"/>
                                      <w:color w:val="000000"/>
                                      <w:sz w:val="24"/>
                                      <w:szCs w:val="24"/>
                                    </w:rPr>
                                  </w:pPr>
                                  <w:r w:rsidRPr="00181FFF">
                                    <w:rPr>
                                      <w:rFonts w:ascii="Calibri" w:eastAsia="Times New Roman" w:hAnsi="Calibri" w:cs="Times New Roman"/>
                                      <w:color w:val="000000"/>
                                      <w:sz w:val="24"/>
                                      <w:szCs w:val="24"/>
                                    </w:rPr>
                                    <w:t>1.43</w:t>
                                  </w:r>
                                </w:p>
                              </w:tc>
                            </w:tr>
                            <w:tr w:rsidR="00AF45DC" w:rsidRPr="00181FFF" w:rsidTr="00181FFF">
                              <w:trPr>
                                <w:trHeight w:val="48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5DC" w:rsidRPr="00181FFF" w:rsidRDefault="00AF45DC" w:rsidP="00181FFF">
                                  <w:pPr>
                                    <w:spacing w:after="0" w:line="240" w:lineRule="auto"/>
                                    <w:rPr>
                                      <w:rFonts w:ascii="Calibri" w:eastAsia="Times New Roman" w:hAnsi="Calibri" w:cs="Times New Roman"/>
                                      <w:color w:val="000000"/>
                                      <w:sz w:val="24"/>
                                      <w:szCs w:val="24"/>
                                    </w:rPr>
                                  </w:pPr>
                                  <w:r w:rsidRPr="00181FFF">
                                    <w:rPr>
                                      <w:rFonts w:ascii="Calibri" w:eastAsia="Times New Roman" w:hAnsi="Calibri" w:cs="Times New Roman"/>
                                      <w:color w:val="000000"/>
                                      <w:sz w:val="24"/>
                                      <w:szCs w:val="24"/>
                                    </w:rPr>
                                    <w:t>Ft. Worth-Arlington</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5DC" w:rsidRPr="00181FFF" w:rsidRDefault="00AF45DC" w:rsidP="00181FFF">
                                  <w:pPr>
                                    <w:spacing w:after="0" w:line="240" w:lineRule="auto"/>
                                    <w:jc w:val="center"/>
                                    <w:rPr>
                                      <w:rFonts w:ascii="Calibri" w:eastAsia="Times New Roman" w:hAnsi="Calibri" w:cs="Times New Roman"/>
                                      <w:color w:val="000000"/>
                                      <w:sz w:val="24"/>
                                      <w:szCs w:val="24"/>
                                    </w:rPr>
                                  </w:pPr>
                                  <w:r w:rsidRPr="00181FFF">
                                    <w:rPr>
                                      <w:rFonts w:ascii="Calibri" w:eastAsia="Times New Roman" w:hAnsi="Calibri" w:cs="Times New Roman"/>
                                      <w:color w:val="000000"/>
                                      <w:sz w:val="24"/>
                                      <w:szCs w:val="24"/>
                                    </w:rPr>
                                    <w:t>1.73</w:t>
                                  </w:r>
                                </w:p>
                              </w:tc>
                            </w:tr>
                            <w:tr w:rsidR="00AF45DC" w:rsidRPr="00181FFF" w:rsidTr="00181FFF">
                              <w:trPr>
                                <w:trHeight w:val="480"/>
                              </w:trPr>
                              <w:tc>
                                <w:tcPr>
                                  <w:tcW w:w="2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AF45DC" w:rsidRPr="00181FFF" w:rsidRDefault="00AF45DC" w:rsidP="00181FFF">
                                  <w:pPr>
                                    <w:spacing w:after="0" w:line="240" w:lineRule="auto"/>
                                    <w:rPr>
                                      <w:rFonts w:ascii="Calibri" w:eastAsia="Times New Roman" w:hAnsi="Calibri" w:cs="Times New Roman"/>
                                      <w:color w:val="000000"/>
                                      <w:sz w:val="24"/>
                                      <w:szCs w:val="24"/>
                                    </w:rPr>
                                  </w:pPr>
                                  <w:r w:rsidRPr="00181FFF">
                                    <w:rPr>
                                      <w:rFonts w:ascii="Calibri" w:eastAsia="Times New Roman" w:hAnsi="Calibri" w:cs="Times New Roman"/>
                                      <w:color w:val="000000"/>
                                      <w:sz w:val="24"/>
                                      <w:szCs w:val="24"/>
                                    </w:rPr>
                                    <w:t>Waco</w:t>
                                  </w:r>
                                </w:p>
                              </w:tc>
                              <w:tc>
                                <w:tcPr>
                                  <w:tcW w:w="216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AF45DC" w:rsidRPr="00181FFF" w:rsidRDefault="00AF45DC" w:rsidP="00181FFF">
                                  <w:pPr>
                                    <w:spacing w:after="0" w:line="240" w:lineRule="auto"/>
                                    <w:jc w:val="center"/>
                                    <w:rPr>
                                      <w:rFonts w:ascii="Calibri" w:eastAsia="Times New Roman" w:hAnsi="Calibri" w:cs="Times New Roman"/>
                                      <w:color w:val="000000"/>
                                      <w:sz w:val="24"/>
                                      <w:szCs w:val="24"/>
                                    </w:rPr>
                                  </w:pPr>
                                  <w:r w:rsidRPr="00181FFF">
                                    <w:rPr>
                                      <w:rFonts w:ascii="Calibri" w:eastAsia="Times New Roman" w:hAnsi="Calibri" w:cs="Times New Roman"/>
                                      <w:color w:val="000000"/>
                                      <w:sz w:val="24"/>
                                      <w:szCs w:val="24"/>
                                    </w:rPr>
                                    <w:t>1.79</w:t>
                                  </w:r>
                                </w:p>
                              </w:tc>
                            </w:tr>
                            <w:tr w:rsidR="00AF45DC" w:rsidRPr="00181FFF" w:rsidTr="00181FFF">
                              <w:trPr>
                                <w:trHeight w:val="48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5DC" w:rsidRPr="00181FFF" w:rsidRDefault="00AF45DC" w:rsidP="00181FFF">
                                  <w:pPr>
                                    <w:spacing w:after="0" w:line="240" w:lineRule="auto"/>
                                    <w:rPr>
                                      <w:rFonts w:ascii="Calibri" w:eastAsia="Times New Roman" w:hAnsi="Calibri" w:cs="Times New Roman"/>
                                      <w:color w:val="000000"/>
                                      <w:sz w:val="24"/>
                                      <w:szCs w:val="24"/>
                                    </w:rPr>
                                  </w:pPr>
                                  <w:r w:rsidRPr="00181FFF">
                                    <w:rPr>
                                      <w:rFonts w:ascii="Calibri" w:eastAsia="Times New Roman" w:hAnsi="Calibri" w:cs="Times New Roman"/>
                                      <w:color w:val="000000"/>
                                      <w:sz w:val="24"/>
                                      <w:szCs w:val="24"/>
                                    </w:rPr>
                                    <w:t>Temple-Killeen</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5DC" w:rsidRPr="00181FFF" w:rsidRDefault="00AF45DC" w:rsidP="00181FFF">
                                  <w:pPr>
                                    <w:spacing w:after="0" w:line="240" w:lineRule="auto"/>
                                    <w:jc w:val="center"/>
                                    <w:rPr>
                                      <w:rFonts w:ascii="Calibri" w:eastAsia="Times New Roman" w:hAnsi="Calibri" w:cs="Times New Roman"/>
                                      <w:color w:val="000000"/>
                                      <w:sz w:val="24"/>
                                      <w:szCs w:val="24"/>
                                    </w:rPr>
                                  </w:pPr>
                                  <w:r w:rsidRPr="00181FFF">
                                    <w:rPr>
                                      <w:rFonts w:ascii="Calibri" w:eastAsia="Times New Roman" w:hAnsi="Calibri" w:cs="Times New Roman"/>
                                      <w:color w:val="000000"/>
                                      <w:sz w:val="24"/>
                                      <w:szCs w:val="24"/>
                                    </w:rPr>
                                    <w:t>1.99</w:t>
                                  </w:r>
                                </w:p>
                              </w:tc>
                            </w:tr>
                            <w:tr w:rsidR="00AF45DC" w:rsidRPr="00181FFF" w:rsidTr="00181FFF">
                              <w:trPr>
                                <w:trHeight w:val="480"/>
                              </w:trPr>
                              <w:tc>
                                <w:tcPr>
                                  <w:tcW w:w="2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AF45DC" w:rsidRPr="00181FFF" w:rsidRDefault="00AF45DC" w:rsidP="00181FFF">
                                  <w:pPr>
                                    <w:spacing w:after="0" w:line="240" w:lineRule="auto"/>
                                    <w:rPr>
                                      <w:rFonts w:ascii="Calibri" w:eastAsia="Times New Roman" w:hAnsi="Calibri" w:cs="Times New Roman"/>
                                      <w:color w:val="000000"/>
                                      <w:sz w:val="24"/>
                                      <w:szCs w:val="24"/>
                                    </w:rPr>
                                  </w:pPr>
                                  <w:r w:rsidRPr="00181FFF">
                                    <w:rPr>
                                      <w:rFonts w:ascii="Calibri" w:eastAsia="Times New Roman" w:hAnsi="Calibri" w:cs="Times New Roman"/>
                                      <w:color w:val="000000"/>
                                      <w:sz w:val="24"/>
                                      <w:szCs w:val="24"/>
                                    </w:rPr>
                                    <w:t>Austin-Rd. Rock</w:t>
                                  </w:r>
                                </w:p>
                              </w:tc>
                              <w:tc>
                                <w:tcPr>
                                  <w:tcW w:w="216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AF45DC" w:rsidRPr="00181FFF" w:rsidRDefault="00AF45DC" w:rsidP="00181FFF">
                                  <w:pPr>
                                    <w:spacing w:after="0" w:line="240" w:lineRule="auto"/>
                                    <w:jc w:val="center"/>
                                    <w:rPr>
                                      <w:rFonts w:ascii="Calibri" w:eastAsia="Times New Roman" w:hAnsi="Calibri" w:cs="Times New Roman"/>
                                      <w:color w:val="000000"/>
                                      <w:sz w:val="24"/>
                                      <w:szCs w:val="24"/>
                                    </w:rPr>
                                  </w:pPr>
                                  <w:r w:rsidRPr="00181FFF">
                                    <w:rPr>
                                      <w:rFonts w:ascii="Calibri" w:eastAsia="Times New Roman" w:hAnsi="Calibri" w:cs="Times New Roman"/>
                                      <w:color w:val="000000"/>
                                      <w:sz w:val="24"/>
                                      <w:szCs w:val="24"/>
                                    </w:rPr>
                                    <w:t>1.49</w:t>
                                  </w:r>
                                </w:p>
                              </w:tc>
                            </w:tr>
                            <w:tr w:rsidR="00AF45DC" w:rsidRPr="00181FFF" w:rsidTr="00181FFF">
                              <w:trPr>
                                <w:trHeight w:val="48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5DC" w:rsidRPr="00181FFF" w:rsidRDefault="00AF45DC" w:rsidP="00181FFF">
                                  <w:pPr>
                                    <w:spacing w:after="0" w:line="240" w:lineRule="auto"/>
                                    <w:rPr>
                                      <w:rFonts w:ascii="Calibri" w:eastAsia="Times New Roman" w:hAnsi="Calibri" w:cs="Times New Roman"/>
                                      <w:color w:val="000000"/>
                                      <w:sz w:val="24"/>
                                      <w:szCs w:val="24"/>
                                    </w:rPr>
                                  </w:pPr>
                                  <w:r w:rsidRPr="00181FFF">
                                    <w:rPr>
                                      <w:rFonts w:ascii="Calibri" w:eastAsia="Times New Roman" w:hAnsi="Calibri" w:cs="Times New Roman"/>
                                      <w:color w:val="000000"/>
                                      <w:sz w:val="24"/>
                                      <w:szCs w:val="24"/>
                                    </w:rPr>
                                    <w:t>San Antonio-New Braunfels</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5DC" w:rsidRPr="00181FFF" w:rsidRDefault="00AF45DC" w:rsidP="00181FFF">
                                  <w:pPr>
                                    <w:spacing w:after="0" w:line="240" w:lineRule="auto"/>
                                    <w:jc w:val="center"/>
                                    <w:rPr>
                                      <w:rFonts w:ascii="Calibri" w:eastAsia="Times New Roman" w:hAnsi="Calibri" w:cs="Times New Roman"/>
                                      <w:color w:val="000000"/>
                                      <w:sz w:val="24"/>
                                      <w:szCs w:val="24"/>
                                    </w:rPr>
                                  </w:pPr>
                                  <w:r w:rsidRPr="00181FFF">
                                    <w:rPr>
                                      <w:rFonts w:ascii="Calibri" w:eastAsia="Times New Roman" w:hAnsi="Calibri" w:cs="Times New Roman"/>
                                      <w:color w:val="000000"/>
                                      <w:sz w:val="24"/>
                                      <w:szCs w:val="24"/>
                                    </w:rPr>
                                    <w:t>1.57</w:t>
                                  </w:r>
                                </w:p>
                              </w:tc>
                            </w:tr>
                            <w:tr w:rsidR="00AF45DC" w:rsidRPr="00181FFF" w:rsidTr="00181FFF">
                              <w:trPr>
                                <w:trHeight w:val="480"/>
                              </w:trPr>
                              <w:tc>
                                <w:tcPr>
                                  <w:tcW w:w="2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AF45DC" w:rsidRPr="00181FFF" w:rsidRDefault="00AF45DC" w:rsidP="00181FFF">
                                  <w:pPr>
                                    <w:spacing w:after="0" w:line="240" w:lineRule="auto"/>
                                    <w:rPr>
                                      <w:rFonts w:ascii="Calibri" w:eastAsia="Times New Roman" w:hAnsi="Calibri" w:cs="Times New Roman"/>
                                      <w:b/>
                                      <w:color w:val="000000"/>
                                      <w:sz w:val="24"/>
                                      <w:szCs w:val="24"/>
                                    </w:rPr>
                                  </w:pPr>
                                  <w:r>
                                    <w:rPr>
                                      <w:rFonts w:ascii="Calibri" w:eastAsia="Times New Roman" w:hAnsi="Calibri" w:cs="Times New Roman"/>
                                      <w:color w:val="000000"/>
                                      <w:sz w:val="24"/>
                                      <w:szCs w:val="24"/>
                                    </w:rPr>
                                    <w:t xml:space="preserve">          </w:t>
                                  </w:r>
                                  <w:r w:rsidRPr="00181FFF">
                                    <w:rPr>
                                      <w:rFonts w:ascii="Calibri" w:eastAsia="Times New Roman" w:hAnsi="Calibri" w:cs="Times New Roman"/>
                                      <w:b/>
                                      <w:color w:val="000000"/>
                                      <w:sz w:val="24"/>
                                      <w:szCs w:val="24"/>
                                    </w:rPr>
                                    <w:t>Texas Total</w:t>
                                  </w:r>
                                </w:p>
                              </w:tc>
                              <w:tc>
                                <w:tcPr>
                                  <w:tcW w:w="216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AF45DC" w:rsidRPr="00181FFF" w:rsidRDefault="00AF45DC" w:rsidP="00181FFF">
                                  <w:pPr>
                                    <w:spacing w:after="0" w:line="240" w:lineRule="auto"/>
                                    <w:jc w:val="center"/>
                                    <w:rPr>
                                      <w:rFonts w:ascii="Calibri" w:eastAsia="Times New Roman" w:hAnsi="Calibri" w:cs="Times New Roman"/>
                                      <w:b/>
                                      <w:color w:val="000000"/>
                                      <w:sz w:val="24"/>
                                      <w:szCs w:val="24"/>
                                    </w:rPr>
                                  </w:pPr>
                                  <w:r w:rsidRPr="00181FFF">
                                    <w:rPr>
                                      <w:rFonts w:ascii="Calibri" w:eastAsia="Times New Roman" w:hAnsi="Calibri" w:cs="Times New Roman"/>
                                      <w:b/>
                                      <w:color w:val="000000"/>
                                      <w:sz w:val="24"/>
                                      <w:szCs w:val="24"/>
                                    </w:rPr>
                                    <w:t>1.54</w:t>
                                  </w:r>
                                </w:p>
                              </w:tc>
                            </w:tr>
                          </w:tbl>
                          <w:p w:rsidR="00AF45DC" w:rsidRPr="00CA6F4A" w:rsidRDefault="00AF45DC" w:rsidP="00CA6F4A">
                            <w:pPr>
                              <w:rPr>
                                <w:sz w:val="20"/>
                                <w:szCs w:val="20"/>
                              </w:rPr>
                            </w:pPr>
                            <w:r w:rsidRPr="00CA6F4A">
                              <w:rPr>
                                <w:rFonts w:eastAsia="Times New Roman" w:cs="Arial"/>
                                <w:color w:val="555555"/>
                                <w:sz w:val="20"/>
                                <w:szCs w:val="20"/>
                              </w:rPr>
                              <w:t>Source: Texas A&amp;M Real Estate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CC9C5" id="_x0000_s1028" type="#_x0000_t202" style="position:absolute;margin-left:0;margin-top:23.65pt;width:274.5pt;height:270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" stroked="f">
                <v:textbox>
                  <w:txbxContent>
                    <w:p w:rsidR="00AF45DC" w:rsidRPr="00181FFF" w:rsidRDefault="00AF45DC" w:rsidP="00CA6F4A">
                      <w:pPr>
                        <w:spacing w:after="0" w:line="240" w:lineRule="auto"/>
                        <w:jc w:val="center"/>
                        <w:rPr>
                          <w:b/>
                        </w:rPr>
                      </w:pPr>
                      <w:r w:rsidRPr="00181FFF">
                        <w:rPr>
                          <w:b/>
                        </w:rPr>
                        <w:t>Table 8</w:t>
                      </w:r>
                    </w:p>
                    <w:p w:rsidR="00AF45DC" w:rsidRDefault="00AF45DC" w:rsidP="00CA6F4A">
                      <w:pPr>
                        <w:spacing w:after="0" w:line="240" w:lineRule="auto"/>
                        <w:jc w:val="center"/>
                        <w:rPr>
                          <w:b/>
                        </w:rPr>
                      </w:pPr>
                      <w:r w:rsidRPr="00181FFF">
                        <w:rPr>
                          <w:b/>
                        </w:rPr>
                        <w:t xml:space="preserve">Central </w:t>
                      </w:r>
                      <w:r w:rsidRPr="003D33A1">
                        <w:rPr>
                          <w:b/>
                        </w:rPr>
                        <w:t>Texas</w:t>
                      </w:r>
                      <w:r w:rsidRPr="00181FFF">
                        <w:rPr>
                          <w:b/>
                        </w:rPr>
                        <w:t xml:space="preserve"> Cities Housing Affordability</w:t>
                      </w:r>
                      <w:r>
                        <w:rPr>
                          <w:b/>
                        </w:rPr>
                        <w:t xml:space="preserve"> </w:t>
                      </w:r>
                    </w:p>
                    <w:p w:rsidR="00AF45DC" w:rsidRPr="00181FFF" w:rsidRDefault="00AF45DC" w:rsidP="00CA6F4A">
                      <w:pPr>
                        <w:spacing w:after="0" w:line="240" w:lineRule="auto"/>
                        <w:jc w:val="center"/>
                        <w:rPr>
                          <w:b/>
                        </w:rPr>
                      </w:pPr>
                      <w:r>
                        <w:rPr>
                          <w:b/>
                        </w:rPr>
                        <w:t>3</w:t>
                      </w:r>
                      <w:r w:rsidRPr="00CA6F4A">
                        <w:rPr>
                          <w:b/>
                          <w:vertAlign w:val="superscript"/>
                        </w:rPr>
                        <w:t>rd</w:t>
                      </w:r>
                      <w:r>
                        <w:rPr>
                          <w:b/>
                        </w:rPr>
                        <w:t xml:space="preserve"> Quarter 2017</w:t>
                      </w:r>
                    </w:p>
                    <w:p w:rsidR="00AF45DC" w:rsidRPr="00181FFF" w:rsidRDefault="00AF45DC" w:rsidP="00CA6F4A">
                      <w:pPr>
                        <w:spacing w:after="0" w:line="240" w:lineRule="auto"/>
                        <w:rPr>
                          <w:sz w:val="16"/>
                          <w:szCs w:val="16"/>
                        </w:rPr>
                      </w:pPr>
                    </w:p>
                    <w:tbl>
                      <w:tblPr>
                        <w:tblW w:w="5125" w:type="dxa"/>
                        <w:tblLook w:val="04A0" w:firstRow="1" w:lastRow="0" w:firstColumn="1" w:lastColumn="0" w:noHBand="0" w:noVBand="1"/>
                      </w:tblPr>
                      <w:tblGrid>
                        <w:gridCol w:w="2960"/>
                        <w:gridCol w:w="2165"/>
                      </w:tblGrid>
                      <w:tr w:rsidR="00AF45DC" w:rsidRPr="00181FFF" w:rsidTr="00181FFF">
                        <w:trPr>
                          <w:trHeight w:val="48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5DC" w:rsidRPr="00181FFF" w:rsidRDefault="00AF45DC" w:rsidP="00181FFF">
                            <w:pPr>
                              <w:spacing w:after="0" w:line="240" w:lineRule="auto"/>
                              <w:jc w:val="center"/>
                              <w:rPr>
                                <w:rFonts w:ascii="Calibri" w:eastAsia="Times New Roman" w:hAnsi="Calibri" w:cs="Times New Roman"/>
                                <w:b/>
                                <w:bCs/>
                                <w:color w:val="000000"/>
                                <w:sz w:val="24"/>
                                <w:szCs w:val="24"/>
                              </w:rPr>
                            </w:pPr>
                            <w:r w:rsidRPr="00181FFF">
                              <w:rPr>
                                <w:rFonts w:ascii="Calibri" w:eastAsia="Times New Roman" w:hAnsi="Calibri" w:cs="Times New Roman"/>
                                <w:b/>
                                <w:bCs/>
                                <w:color w:val="000000"/>
                                <w:sz w:val="24"/>
                                <w:szCs w:val="24"/>
                              </w:rPr>
                              <w:t xml:space="preserve">     Housing Area</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5DC" w:rsidRPr="00181FFF" w:rsidRDefault="00AF45DC" w:rsidP="00181FF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w:t>
                            </w:r>
                            <w:r w:rsidRPr="00181FFF">
                              <w:rPr>
                                <w:rFonts w:ascii="Calibri" w:eastAsia="Times New Roman" w:hAnsi="Calibri" w:cs="Times New Roman"/>
                                <w:b/>
                                <w:bCs/>
                                <w:color w:val="000000"/>
                                <w:sz w:val="24"/>
                                <w:szCs w:val="24"/>
                              </w:rPr>
                              <w:t>THAI</w:t>
                            </w:r>
                          </w:p>
                        </w:tc>
                      </w:tr>
                      <w:tr w:rsidR="00AF45DC" w:rsidRPr="00181FFF" w:rsidTr="00181FFF">
                        <w:trPr>
                          <w:trHeight w:val="480"/>
                        </w:trPr>
                        <w:tc>
                          <w:tcPr>
                            <w:tcW w:w="2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AF45DC" w:rsidRPr="00181FFF" w:rsidRDefault="00AF45DC" w:rsidP="00181FFF">
                            <w:pPr>
                              <w:spacing w:after="0" w:line="240" w:lineRule="auto"/>
                              <w:rPr>
                                <w:rFonts w:ascii="Calibri" w:eastAsia="Times New Roman" w:hAnsi="Calibri" w:cs="Times New Roman"/>
                                <w:color w:val="000000"/>
                                <w:sz w:val="24"/>
                                <w:szCs w:val="24"/>
                              </w:rPr>
                            </w:pPr>
                            <w:r w:rsidRPr="00181FFF">
                              <w:rPr>
                                <w:rFonts w:ascii="Calibri" w:eastAsia="Times New Roman" w:hAnsi="Calibri" w:cs="Times New Roman"/>
                                <w:color w:val="000000"/>
                                <w:sz w:val="24"/>
                                <w:szCs w:val="24"/>
                              </w:rPr>
                              <w:t>Dallas-Plano-Irving</w:t>
                            </w:r>
                          </w:p>
                        </w:tc>
                        <w:tc>
                          <w:tcPr>
                            <w:tcW w:w="216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AF45DC" w:rsidRPr="00181FFF" w:rsidRDefault="00AF45DC" w:rsidP="00181FFF">
                            <w:pPr>
                              <w:spacing w:after="0" w:line="240" w:lineRule="auto"/>
                              <w:jc w:val="center"/>
                              <w:rPr>
                                <w:rFonts w:ascii="Calibri" w:eastAsia="Times New Roman" w:hAnsi="Calibri" w:cs="Times New Roman"/>
                                <w:color w:val="000000"/>
                                <w:sz w:val="24"/>
                                <w:szCs w:val="24"/>
                              </w:rPr>
                            </w:pPr>
                            <w:r w:rsidRPr="00181FFF">
                              <w:rPr>
                                <w:rFonts w:ascii="Calibri" w:eastAsia="Times New Roman" w:hAnsi="Calibri" w:cs="Times New Roman"/>
                                <w:color w:val="000000"/>
                                <w:sz w:val="24"/>
                                <w:szCs w:val="24"/>
                              </w:rPr>
                              <w:t>1.43</w:t>
                            </w:r>
                          </w:p>
                        </w:tc>
                      </w:tr>
                      <w:tr w:rsidR="00AF45DC" w:rsidRPr="00181FFF" w:rsidTr="00181FFF">
                        <w:trPr>
                          <w:trHeight w:val="48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5DC" w:rsidRPr="00181FFF" w:rsidRDefault="00AF45DC" w:rsidP="00181FFF">
                            <w:pPr>
                              <w:spacing w:after="0" w:line="240" w:lineRule="auto"/>
                              <w:rPr>
                                <w:rFonts w:ascii="Calibri" w:eastAsia="Times New Roman" w:hAnsi="Calibri" w:cs="Times New Roman"/>
                                <w:color w:val="000000"/>
                                <w:sz w:val="24"/>
                                <w:szCs w:val="24"/>
                              </w:rPr>
                            </w:pPr>
                            <w:r w:rsidRPr="00181FFF">
                              <w:rPr>
                                <w:rFonts w:ascii="Calibri" w:eastAsia="Times New Roman" w:hAnsi="Calibri" w:cs="Times New Roman"/>
                                <w:color w:val="000000"/>
                                <w:sz w:val="24"/>
                                <w:szCs w:val="24"/>
                              </w:rPr>
                              <w:t>Ft. Worth-Arlington</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5DC" w:rsidRPr="00181FFF" w:rsidRDefault="00AF45DC" w:rsidP="00181FFF">
                            <w:pPr>
                              <w:spacing w:after="0" w:line="240" w:lineRule="auto"/>
                              <w:jc w:val="center"/>
                              <w:rPr>
                                <w:rFonts w:ascii="Calibri" w:eastAsia="Times New Roman" w:hAnsi="Calibri" w:cs="Times New Roman"/>
                                <w:color w:val="000000"/>
                                <w:sz w:val="24"/>
                                <w:szCs w:val="24"/>
                              </w:rPr>
                            </w:pPr>
                            <w:r w:rsidRPr="00181FFF">
                              <w:rPr>
                                <w:rFonts w:ascii="Calibri" w:eastAsia="Times New Roman" w:hAnsi="Calibri" w:cs="Times New Roman"/>
                                <w:color w:val="000000"/>
                                <w:sz w:val="24"/>
                                <w:szCs w:val="24"/>
                              </w:rPr>
                              <w:t>1.73</w:t>
                            </w:r>
                          </w:p>
                        </w:tc>
                      </w:tr>
                      <w:tr w:rsidR="00AF45DC" w:rsidRPr="00181FFF" w:rsidTr="00181FFF">
                        <w:trPr>
                          <w:trHeight w:val="480"/>
                        </w:trPr>
                        <w:tc>
                          <w:tcPr>
                            <w:tcW w:w="2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AF45DC" w:rsidRPr="00181FFF" w:rsidRDefault="00AF45DC" w:rsidP="00181FFF">
                            <w:pPr>
                              <w:spacing w:after="0" w:line="240" w:lineRule="auto"/>
                              <w:rPr>
                                <w:rFonts w:ascii="Calibri" w:eastAsia="Times New Roman" w:hAnsi="Calibri" w:cs="Times New Roman"/>
                                <w:color w:val="000000"/>
                                <w:sz w:val="24"/>
                                <w:szCs w:val="24"/>
                              </w:rPr>
                            </w:pPr>
                            <w:r w:rsidRPr="00181FFF">
                              <w:rPr>
                                <w:rFonts w:ascii="Calibri" w:eastAsia="Times New Roman" w:hAnsi="Calibri" w:cs="Times New Roman"/>
                                <w:color w:val="000000"/>
                                <w:sz w:val="24"/>
                                <w:szCs w:val="24"/>
                              </w:rPr>
                              <w:t>Waco</w:t>
                            </w:r>
                          </w:p>
                        </w:tc>
                        <w:tc>
                          <w:tcPr>
                            <w:tcW w:w="216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AF45DC" w:rsidRPr="00181FFF" w:rsidRDefault="00AF45DC" w:rsidP="00181FFF">
                            <w:pPr>
                              <w:spacing w:after="0" w:line="240" w:lineRule="auto"/>
                              <w:jc w:val="center"/>
                              <w:rPr>
                                <w:rFonts w:ascii="Calibri" w:eastAsia="Times New Roman" w:hAnsi="Calibri" w:cs="Times New Roman"/>
                                <w:color w:val="000000"/>
                                <w:sz w:val="24"/>
                                <w:szCs w:val="24"/>
                              </w:rPr>
                            </w:pPr>
                            <w:r w:rsidRPr="00181FFF">
                              <w:rPr>
                                <w:rFonts w:ascii="Calibri" w:eastAsia="Times New Roman" w:hAnsi="Calibri" w:cs="Times New Roman"/>
                                <w:color w:val="000000"/>
                                <w:sz w:val="24"/>
                                <w:szCs w:val="24"/>
                              </w:rPr>
                              <w:t>1.79</w:t>
                            </w:r>
                          </w:p>
                        </w:tc>
                      </w:tr>
                      <w:tr w:rsidR="00AF45DC" w:rsidRPr="00181FFF" w:rsidTr="00181FFF">
                        <w:trPr>
                          <w:trHeight w:val="48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5DC" w:rsidRPr="00181FFF" w:rsidRDefault="00AF45DC" w:rsidP="00181FFF">
                            <w:pPr>
                              <w:spacing w:after="0" w:line="240" w:lineRule="auto"/>
                              <w:rPr>
                                <w:rFonts w:ascii="Calibri" w:eastAsia="Times New Roman" w:hAnsi="Calibri" w:cs="Times New Roman"/>
                                <w:color w:val="000000"/>
                                <w:sz w:val="24"/>
                                <w:szCs w:val="24"/>
                              </w:rPr>
                            </w:pPr>
                            <w:r w:rsidRPr="00181FFF">
                              <w:rPr>
                                <w:rFonts w:ascii="Calibri" w:eastAsia="Times New Roman" w:hAnsi="Calibri" w:cs="Times New Roman"/>
                                <w:color w:val="000000"/>
                                <w:sz w:val="24"/>
                                <w:szCs w:val="24"/>
                              </w:rPr>
                              <w:t>Temple-Killeen</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5DC" w:rsidRPr="00181FFF" w:rsidRDefault="00AF45DC" w:rsidP="00181FFF">
                            <w:pPr>
                              <w:spacing w:after="0" w:line="240" w:lineRule="auto"/>
                              <w:jc w:val="center"/>
                              <w:rPr>
                                <w:rFonts w:ascii="Calibri" w:eastAsia="Times New Roman" w:hAnsi="Calibri" w:cs="Times New Roman"/>
                                <w:color w:val="000000"/>
                                <w:sz w:val="24"/>
                                <w:szCs w:val="24"/>
                              </w:rPr>
                            </w:pPr>
                            <w:r w:rsidRPr="00181FFF">
                              <w:rPr>
                                <w:rFonts w:ascii="Calibri" w:eastAsia="Times New Roman" w:hAnsi="Calibri" w:cs="Times New Roman"/>
                                <w:color w:val="000000"/>
                                <w:sz w:val="24"/>
                                <w:szCs w:val="24"/>
                              </w:rPr>
                              <w:t>1.99</w:t>
                            </w:r>
                          </w:p>
                        </w:tc>
                      </w:tr>
                      <w:tr w:rsidR="00AF45DC" w:rsidRPr="00181FFF" w:rsidTr="00181FFF">
                        <w:trPr>
                          <w:trHeight w:val="480"/>
                        </w:trPr>
                        <w:tc>
                          <w:tcPr>
                            <w:tcW w:w="2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AF45DC" w:rsidRPr="00181FFF" w:rsidRDefault="00AF45DC" w:rsidP="00181FFF">
                            <w:pPr>
                              <w:spacing w:after="0" w:line="240" w:lineRule="auto"/>
                              <w:rPr>
                                <w:rFonts w:ascii="Calibri" w:eastAsia="Times New Roman" w:hAnsi="Calibri" w:cs="Times New Roman"/>
                                <w:color w:val="000000"/>
                                <w:sz w:val="24"/>
                                <w:szCs w:val="24"/>
                              </w:rPr>
                            </w:pPr>
                            <w:r w:rsidRPr="00181FFF">
                              <w:rPr>
                                <w:rFonts w:ascii="Calibri" w:eastAsia="Times New Roman" w:hAnsi="Calibri" w:cs="Times New Roman"/>
                                <w:color w:val="000000"/>
                                <w:sz w:val="24"/>
                                <w:szCs w:val="24"/>
                              </w:rPr>
                              <w:t>Austin-Rd. Rock</w:t>
                            </w:r>
                          </w:p>
                        </w:tc>
                        <w:tc>
                          <w:tcPr>
                            <w:tcW w:w="216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AF45DC" w:rsidRPr="00181FFF" w:rsidRDefault="00AF45DC" w:rsidP="00181FFF">
                            <w:pPr>
                              <w:spacing w:after="0" w:line="240" w:lineRule="auto"/>
                              <w:jc w:val="center"/>
                              <w:rPr>
                                <w:rFonts w:ascii="Calibri" w:eastAsia="Times New Roman" w:hAnsi="Calibri" w:cs="Times New Roman"/>
                                <w:color w:val="000000"/>
                                <w:sz w:val="24"/>
                                <w:szCs w:val="24"/>
                              </w:rPr>
                            </w:pPr>
                            <w:r w:rsidRPr="00181FFF">
                              <w:rPr>
                                <w:rFonts w:ascii="Calibri" w:eastAsia="Times New Roman" w:hAnsi="Calibri" w:cs="Times New Roman"/>
                                <w:color w:val="000000"/>
                                <w:sz w:val="24"/>
                                <w:szCs w:val="24"/>
                              </w:rPr>
                              <w:t>1.49</w:t>
                            </w:r>
                          </w:p>
                        </w:tc>
                      </w:tr>
                      <w:tr w:rsidR="00AF45DC" w:rsidRPr="00181FFF" w:rsidTr="00181FFF">
                        <w:trPr>
                          <w:trHeight w:val="48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5DC" w:rsidRPr="00181FFF" w:rsidRDefault="00AF45DC" w:rsidP="00181FFF">
                            <w:pPr>
                              <w:spacing w:after="0" w:line="240" w:lineRule="auto"/>
                              <w:rPr>
                                <w:rFonts w:ascii="Calibri" w:eastAsia="Times New Roman" w:hAnsi="Calibri" w:cs="Times New Roman"/>
                                <w:color w:val="000000"/>
                                <w:sz w:val="24"/>
                                <w:szCs w:val="24"/>
                              </w:rPr>
                            </w:pPr>
                            <w:r w:rsidRPr="00181FFF">
                              <w:rPr>
                                <w:rFonts w:ascii="Calibri" w:eastAsia="Times New Roman" w:hAnsi="Calibri" w:cs="Times New Roman"/>
                                <w:color w:val="000000"/>
                                <w:sz w:val="24"/>
                                <w:szCs w:val="24"/>
                              </w:rPr>
                              <w:t>San Antonio-New Braunfels</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5DC" w:rsidRPr="00181FFF" w:rsidRDefault="00AF45DC" w:rsidP="00181FFF">
                            <w:pPr>
                              <w:spacing w:after="0" w:line="240" w:lineRule="auto"/>
                              <w:jc w:val="center"/>
                              <w:rPr>
                                <w:rFonts w:ascii="Calibri" w:eastAsia="Times New Roman" w:hAnsi="Calibri" w:cs="Times New Roman"/>
                                <w:color w:val="000000"/>
                                <w:sz w:val="24"/>
                                <w:szCs w:val="24"/>
                              </w:rPr>
                            </w:pPr>
                            <w:r w:rsidRPr="00181FFF">
                              <w:rPr>
                                <w:rFonts w:ascii="Calibri" w:eastAsia="Times New Roman" w:hAnsi="Calibri" w:cs="Times New Roman"/>
                                <w:color w:val="000000"/>
                                <w:sz w:val="24"/>
                                <w:szCs w:val="24"/>
                              </w:rPr>
                              <w:t>1.57</w:t>
                            </w:r>
                          </w:p>
                        </w:tc>
                      </w:tr>
                      <w:tr w:rsidR="00AF45DC" w:rsidRPr="00181FFF" w:rsidTr="00181FFF">
                        <w:trPr>
                          <w:trHeight w:val="480"/>
                        </w:trPr>
                        <w:tc>
                          <w:tcPr>
                            <w:tcW w:w="2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AF45DC" w:rsidRPr="00181FFF" w:rsidRDefault="00AF45DC" w:rsidP="00181FFF">
                            <w:pPr>
                              <w:spacing w:after="0" w:line="240" w:lineRule="auto"/>
                              <w:rPr>
                                <w:rFonts w:ascii="Calibri" w:eastAsia="Times New Roman" w:hAnsi="Calibri" w:cs="Times New Roman"/>
                                <w:b/>
                                <w:color w:val="000000"/>
                                <w:sz w:val="24"/>
                                <w:szCs w:val="24"/>
                              </w:rPr>
                            </w:pPr>
                            <w:r>
                              <w:rPr>
                                <w:rFonts w:ascii="Calibri" w:eastAsia="Times New Roman" w:hAnsi="Calibri" w:cs="Times New Roman"/>
                                <w:color w:val="000000"/>
                                <w:sz w:val="24"/>
                                <w:szCs w:val="24"/>
                              </w:rPr>
                              <w:t xml:space="preserve">          </w:t>
                            </w:r>
                            <w:r w:rsidRPr="00181FFF">
                              <w:rPr>
                                <w:rFonts w:ascii="Calibri" w:eastAsia="Times New Roman" w:hAnsi="Calibri" w:cs="Times New Roman"/>
                                <w:b/>
                                <w:color w:val="000000"/>
                                <w:sz w:val="24"/>
                                <w:szCs w:val="24"/>
                              </w:rPr>
                              <w:t>Texas Total</w:t>
                            </w:r>
                          </w:p>
                        </w:tc>
                        <w:tc>
                          <w:tcPr>
                            <w:tcW w:w="216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AF45DC" w:rsidRPr="00181FFF" w:rsidRDefault="00AF45DC" w:rsidP="00181FFF">
                            <w:pPr>
                              <w:spacing w:after="0" w:line="240" w:lineRule="auto"/>
                              <w:jc w:val="center"/>
                              <w:rPr>
                                <w:rFonts w:ascii="Calibri" w:eastAsia="Times New Roman" w:hAnsi="Calibri" w:cs="Times New Roman"/>
                                <w:b/>
                                <w:color w:val="000000"/>
                                <w:sz w:val="24"/>
                                <w:szCs w:val="24"/>
                              </w:rPr>
                            </w:pPr>
                            <w:r w:rsidRPr="00181FFF">
                              <w:rPr>
                                <w:rFonts w:ascii="Calibri" w:eastAsia="Times New Roman" w:hAnsi="Calibri" w:cs="Times New Roman"/>
                                <w:b/>
                                <w:color w:val="000000"/>
                                <w:sz w:val="24"/>
                                <w:szCs w:val="24"/>
                              </w:rPr>
                              <w:t>1.54</w:t>
                            </w:r>
                          </w:p>
                        </w:tc>
                      </w:tr>
                    </w:tbl>
                    <w:p w:rsidR="00AF45DC" w:rsidRPr="00CA6F4A" w:rsidRDefault="00AF45DC" w:rsidP="00CA6F4A">
                      <w:pPr>
                        <w:rPr>
                          <w:sz w:val="20"/>
                          <w:szCs w:val="20"/>
                        </w:rPr>
                      </w:pPr>
                      <w:r w:rsidRPr="00CA6F4A">
                        <w:rPr>
                          <w:rFonts w:eastAsia="Times New Roman" w:cs="Arial"/>
                          <w:color w:val="555555"/>
                          <w:sz w:val="20"/>
                          <w:szCs w:val="20"/>
                        </w:rPr>
                        <w:t>Source: Texas A&amp;M Real Estate Center</w:t>
                      </w:r>
                    </w:p>
                  </w:txbxContent>
                </v:textbox>
                <w10:wrap type="square" anchorx="margin"/>
              </v:shape>
            </w:pict>
          </mc:Fallback>
        </mc:AlternateContent>
      </w:r>
      <w:r w:rsidR="00957622">
        <w:rPr>
          <w:rFonts w:eastAsia="Times New Roman" w:cs="Arial"/>
          <w:color w:val="555555"/>
          <w:sz w:val="24"/>
          <w:szCs w:val="24"/>
        </w:rPr>
        <w:tab/>
        <w:t xml:space="preserve">September 2017 sales volume of single-unit residential housing in the Waco MSA increased 4.13% to from 242 to 252 transactions, while </w:t>
      </w:r>
      <w:r w:rsidR="000608AB">
        <w:rPr>
          <w:rFonts w:eastAsia="Times New Roman" w:cs="Arial"/>
          <w:color w:val="555555"/>
          <w:sz w:val="24"/>
          <w:szCs w:val="24"/>
        </w:rPr>
        <w:t xml:space="preserve">September </w:t>
      </w:r>
      <w:r w:rsidR="00957622">
        <w:rPr>
          <w:rFonts w:eastAsia="Times New Roman" w:cs="Arial"/>
          <w:color w:val="555555"/>
          <w:sz w:val="24"/>
          <w:szCs w:val="24"/>
        </w:rPr>
        <w:t>year-to-da</w:t>
      </w:r>
      <w:r w:rsidR="000608AB">
        <w:rPr>
          <w:rFonts w:eastAsia="Times New Roman" w:cs="Arial"/>
          <w:color w:val="555555"/>
          <w:sz w:val="24"/>
          <w:szCs w:val="24"/>
        </w:rPr>
        <w:t xml:space="preserve">te closings totaled 2,095 with a </w:t>
      </w:r>
      <w:r w:rsidR="00957622">
        <w:rPr>
          <w:rFonts w:eastAsia="Times New Roman" w:cs="Arial"/>
          <w:color w:val="555555"/>
          <w:sz w:val="24"/>
          <w:szCs w:val="24"/>
        </w:rPr>
        <w:t xml:space="preserve">dollar volume of $56.04 million compared with $44.1 million over the same period </w:t>
      </w:r>
      <w:r w:rsidR="000608AB">
        <w:rPr>
          <w:rFonts w:eastAsia="Times New Roman" w:cs="Arial"/>
          <w:color w:val="555555"/>
          <w:sz w:val="24"/>
          <w:szCs w:val="24"/>
        </w:rPr>
        <w:t>in 2017.  The average sales price increased 22.03% to $222,389 compared with a year ago, representing an average increase per square foot from $87 to $103.  The strongest demand was for homes with a price above the median value of $179,500 that was 14.77% above the median price of $156,400.  Compared with a year ago the inventory of single family homes rose from 2.9 to 3.1</w:t>
      </w:r>
      <w:r w:rsidR="00CF3401">
        <w:rPr>
          <w:rFonts w:eastAsia="Times New Roman" w:cs="Arial"/>
          <w:color w:val="555555"/>
          <w:sz w:val="24"/>
          <w:szCs w:val="24"/>
        </w:rPr>
        <w:t xml:space="preserve"> months, and the average days to sell increased from 83 to 87.  </w:t>
      </w:r>
    </w:p>
    <w:p w:rsidR="003D33A1" w:rsidRDefault="00A333BC" w:rsidP="00340C19">
      <w:pPr>
        <w:spacing w:after="0" w:line="300" w:lineRule="auto"/>
        <w:ind w:firstLine="720"/>
        <w:rPr>
          <w:rFonts w:eastAsia="Times New Roman" w:cs="Arial"/>
          <w:color w:val="555555"/>
          <w:sz w:val="24"/>
          <w:szCs w:val="24"/>
        </w:rPr>
      </w:pPr>
      <w:r>
        <w:rPr>
          <w:rFonts w:eastAsia="Times New Roman" w:cs="Arial"/>
          <w:color w:val="555555"/>
          <w:sz w:val="24"/>
          <w:szCs w:val="24"/>
        </w:rPr>
        <w:t>Table 8 shows that despite</w:t>
      </w:r>
      <w:r w:rsidR="007F57C5">
        <w:rPr>
          <w:rFonts w:eastAsia="Times New Roman" w:cs="Arial"/>
          <w:color w:val="555555"/>
          <w:sz w:val="24"/>
          <w:szCs w:val="24"/>
        </w:rPr>
        <w:t xml:space="preserve"> the</w:t>
      </w:r>
      <w:bookmarkStart w:id="0" w:name="_GoBack"/>
      <w:bookmarkEnd w:id="0"/>
      <w:r w:rsidR="007F57C5">
        <w:rPr>
          <w:rFonts w:eastAsia="Times New Roman" w:cs="Arial"/>
          <w:color w:val="555555"/>
          <w:sz w:val="24"/>
          <w:szCs w:val="24"/>
        </w:rPr>
        <w:t xml:space="preserve"> recent increase</w:t>
      </w:r>
      <w:r>
        <w:rPr>
          <w:rFonts w:eastAsia="Times New Roman" w:cs="Arial"/>
          <w:color w:val="555555"/>
          <w:sz w:val="24"/>
          <w:szCs w:val="24"/>
        </w:rPr>
        <w:t xml:space="preserve"> in selling prices </w:t>
      </w:r>
      <w:r w:rsidR="001F2686">
        <w:rPr>
          <w:rFonts w:eastAsia="Times New Roman" w:cs="Arial"/>
          <w:color w:val="555555"/>
          <w:sz w:val="24"/>
          <w:szCs w:val="24"/>
        </w:rPr>
        <w:t xml:space="preserve">local housing continues to be affordable according to the local Housing Affordability Index (THAI) that </w:t>
      </w:r>
      <w:r w:rsidR="001F2686" w:rsidRPr="001F2686">
        <w:rPr>
          <w:rFonts w:eastAsia="Times New Roman" w:cs="Arial"/>
          <w:color w:val="555555"/>
          <w:sz w:val="24"/>
          <w:szCs w:val="24"/>
        </w:rPr>
        <w:t>measures</w:t>
      </w:r>
      <w:r w:rsidR="001F2686" w:rsidRPr="001F2686">
        <w:rPr>
          <w:sz w:val="24"/>
          <w:szCs w:val="24"/>
        </w:rPr>
        <w:t xml:space="preserve"> the capacity to purchase a house, which typically revolves around the ability to qualify for the purchase mortgage.  </w:t>
      </w:r>
      <w:r>
        <w:rPr>
          <w:sz w:val="24"/>
          <w:szCs w:val="24"/>
        </w:rPr>
        <w:t>It</w:t>
      </w:r>
      <w:r w:rsidR="001F2686" w:rsidRPr="001F2686">
        <w:rPr>
          <w:sz w:val="24"/>
          <w:szCs w:val="24"/>
        </w:rPr>
        <w:t xml:space="preserve"> measures the ability of the median-income family to purchase the median-priced, existing house in the area using standard, conventional financing terms.  </w:t>
      </w:r>
      <w:r>
        <w:rPr>
          <w:sz w:val="24"/>
          <w:szCs w:val="24"/>
        </w:rPr>
        <w:t>Specifically, t</w:t>
      </w:r>
      <w:r w:rsidR="001F2686" w:rsidRPr="001F2686">
        <w:rPr>
          <w:sz w:val="24"/>
          <w:szCs w:val="24"/>
        </w:rPr>
        <w:t xml:space="preserve">he equation is as follows:  THAI = median family income (MFI) required to qualify for a conventional purchase mortgage (RI), where: RI = required monthly mortgage payment × 12 qualifying ratio (QR).   The affordability index estimates for different areas are often compared to estimate overall housing affordability of one area relative to another. For example, if Area A has an affordability index of 1.2 and Area B has an affordability index of 0.90, then local housing prices are significantly higher relative to local income in Area B than in Area A, or housing is more affordable in Area A than in Area B. </w:t>
      </w:r>
      <w:r>
        <w:rPr>
          <w:sz w:val="24"/>
          <w:szCs w:val="24"/>
        </w:rPr>
        <w:t xml:space="preserve">  </w:t>
      </w:r>
      <w:r w:rsidR="00CA6F4A">
        <w:rPr>
          <w:rFonts w:eastAsia="Times New Roman" w:cs="Arial"/>
          <w:color w:val="555555"/>
          <w:sz w:val="24"/>
          <w:szCs w:val="24"/>
        </w:rPr>
        <w:t>Waco</w:t>
      </w:r>
      <w:r>
        <w:rPr>
          <w:rFonts w:eastAsia="Times New Roman" w:cs="Arial"/>
          <w:color w:val="555555"/>
          <w:sz w:val="24"/>
          <w:szCs w:val="24"/>
        </w:rPr>
        <w:t>’s THAI</w:t>
      </w:r>
      <w:r w:rsidR="00CA6F4A">
        <w:rPr>
          <w:rFonts w:eastAsia="Times New Roman" w:cs="Arial"/>
          <w:color w:val="555555"/>
          <w:sz w:val="24"/>
          <w:szCs w:val="24"/>
        </w:rPr>
        <w:t xml:space="preserve"> is higher than the </w:t>
      </w:r>
      <w:r w:rsidR="00181FFF">
        <w:rPr>
          <w:rFonts w:eastAsia="Times New Roman" w:cs="Arial"/>
          <w:color w:val="555555"/>
          <w:sz w:val="24"/>
          <w:szCs w:val="24"/>
        </w:rPr>
        <w:t>Texas</w:t>
      </w:r>
      <w:r w:rsidR="00CA6F4A">
        <w:rPr>
          <w:rFonts w:eastAsia="Times New Roman" w:cs="Arial"/>
          <w:color w:val="555555"/>
          <w:sz w:val="24"/>
          <w:szCs w:val="24"/>
        </w:rPr>
        <w:t xml:space="preserve"> statewide average and exceeds the larger</w:t>
      </w:r>
      <w:r w:rsidR="00181FFF">
        <w:rPr>
          <w:rFonts w:eastAsia="Times New Roman" w:cs="Arial"/>
          <w:color w:val="555555"/>
          <w:sz w:val="24"/>
          <w:szCs w:val="24"/>
        </w:rPr>
        <w:t xml:space="preserve"> selected geographic areas along Interstate 35</w:t>
      </w:r>
      <w:r w:rsidR="003D33A1">
        <w:rPr>
          <w:rFonts w:eastAsia="Times New Roman" w:cs="Arial"/>
          <w:color w:val="555555"/>
          <w:sz w:val="24"/>
          <w:szCs w:val="24"/>
        </w:rPr>
        <w:t xml:space="preserve"> </w:t>
      </w:r>
      <w:r w:rsidR="00CA6F4A">
        <w:rPr>
          <w:rFonts w:eastAsia="Times New Roman" w:cs="Arial"/>
          <w:color w:val="555555"/>
          <w:sz w:val="24"/>
          <w:szCs w:val="24"/>
        </w:rPr>
        <w:t>for</w:t>
      </w:r>
      <w:r w:rsidR="003D33A1">
        <w:rPr>
          <w:rFonts w:eastAsia="Times New Roman" w:cs="Arial"/>
          <w:color w:val="555555"/>
          <w:sz w:val="24"/>
          <w:szCs w:val="24"/>
        </w:rPr>
        <w:t xml:space="preserve"> the third quarter of 2017. </w:t>
      </w:r>
      <w:r w:rsidR="00615AD2">
        <w:rPr>
          <w:rFonts w:eastAsia="Times New Roman" w:cs="Arial"/>
          <w:color w:val="555555"/>
          <w:sz w:val="24"/>
          <w:szCs w:val="24"/>
        </w:rPr>
        <w:t xml:space="preserve">  </w:t>
      </w:r>
      <w:r w:rsidR="003D33A1">
        <w:rPr>
          <w:rFonts w:eastAsia="Times New Roman" w:cs="Arial"/>
          <w:color w:val="555555"/>
          <w:sz w:val="24"/>
          <w:szCs w:val="24"/>
        </w:rPr>
        <w:t xml:space="preserve"> </w:t>
      </w:r>
    </w:p>
    <w:p w:rsidR="00181FFF" w:rsidRDefault="00BA7E61" w:rsidP="00340C19">
      <w:pPr>
        <w:shd w:val="clear" w:color="auto" w:fill="FFFFFF"/>
        <w:tabs>
          <w:tab w:val="left" w:pos="720"/>
        </w:tabs>
        <w:spacing w:before="120" w:after="120" w:line="300" w:lineRule="auto"/>
        <w:jc w:val="center"/>
        <w:textAlignment w:val="baseline"/>
        <w:rPr>
          <w:rFonts w:eastAsia="Times New Roman" w:cs="Arial"/>
          <w:b/>
          <w:color w:val="555555"/>
          <w:sz w:val="26"/>
          <w:szCs w:val="26"/>
        </w:rPr>
      </w:pPr>
      <w:r w:rsidRPr="00BA7E61">
        <w:rPr>
          <w:rFonts w:eastAsia="Times New Roman" w:cs="Arial"/>
          <w:b/>
          <w:color w:val="555555"/>
          <w:sz w:val="26"/>
          <w:szCs w:val="26"/>
        </w:rPr>
        <w:t>Conclusions</w:t>
      </w:r>
    </w:p>
    <w:p w:rsidR="00AF45DC" w:rsidRDefault="00BA7E61" w:rsidP="00BA7E61">
      <w:pPr>
        <w:shd w:val="clear" w:color="auto" w:fill="FFFFFF"/>
        <w:tabs>
          <w:tab w:val="left" w:pos="720"/>
        </w:tabs>
        <w:spacing w:after="0" w:line="300" w:lineRule="auto"/>
        <w:textAlignment w:val="baseline"/>
        <w:rPr>
          <w:rFonts w:eastAsia="Times New Roman" w:cs="Arial"/>
          <w:color w:val="555555"/>
          <w:sz w:val="24"/>
          <w:szCs w:val="24"/>
        </w:rPr>
      </w:pPr>
      <w:r>
        <w:rPr>
          <w:rFonts w:eastAsia="Times New Roman" w:cs="Arial"/>
          <w:b/>
          <w:color w:val="555555"/>
          <w:sz w:val="26"/>
          <w:szCs w:val="26"/>
        </w:rPr>
        <w:tab/>
      </w:r>
      <w:r w:rsidR="00AF45DC">
        <w:rPr>
          <w:rFonts w:eastAsia="Times New Roman" w:cs="Arial"/>
          <w:color w:val="555555"/>
          <w:sz w:val="24"/>
          <w:szCs w:val="24"/>
        </w:rPr>
        <w:t xml:space="preserve">Following the onset of the housing crisis and the national recession that began in late 2007 the Waco MSA experienced job losses from 2009 through 2011 that averaged 0.5% (about 600 jobs) annually.  Manufacturing lost an average of 400 jobs per year, or 2.4%, while the wholesale and retail trade sector loss 200 jobs, or 1.3% per year.  The local government sector recorded the most gains, adding 300 jobs.  </w:t>
      </w:r>
      <w:r w:rsidR="007F57C5">
        <w:rPr>
          <w:rFonts w:eastAsia="Times New Roman" w:cs="Arial"/>
          <w:color w:val="555555"/>
          <w:sz w:val="24"/>
          <w:szCs w:val="24"/>
        </w:rPr>
        <w:t>However, s</w:t>
      </w:r>
      <w:r w:rsidR="00AF45DC">
        <w:rPr>
          <w:rFonts w:eastAsia="Times New Roman" w:cs="Arial"/>
          <w:color w:val="555555"/>
          <w:sz w:val="24"/>
          <w:szCs w:val="24"/>
        </w:rPr>
        <w:t>ince 2012</w:t>
      </w:r>
      <w:r w:rsidR="007F57C5">
        <w:rPr>
          <w:rFonts w:eastAsia="Times New Roman" w:cs="Arial"/>
          <w:color w:val="555555"/>
          <w:sz w:val="24"/>
          <w:szCs w:val="24"/>
        </w:rPr>
        <w:t xml:space="preserve"> </w:t>
      </w:r>
      <w:r w:rsidR="00AF45DC">
        <w:rPr>
          <w:rFonts w:eastAsia="Times New Roman" w:cs="Arial"/>
          <w:color w:val="555555"/>
          <w:sz w:val="24"/>
          <w:szCs w:val="24"/>
        </w:rPr>
        <w:t xml:space="preserve">the rate of growth in nonfarm payroll jobs </w:t>
      </w:r>
      <w:r w:rsidR="007F57C5">
        <w:rPr>
          <w:rFonts w:eastAsia="Times New Roman" w:cs="Arial"/>
          <w:color w:val="555555"/>
          <w:sz w:val="24"/>
          <w:szCs w:val="24"/>
        </w:rPr>
        <w:t xml:space="preserve">has </w:t>
      </w:r>
      <w:r w:rsidR="00AF45DC">
        <w:rPr>
          <w:rFonts w:eastAsia="Times New Roman" w:cs="Arial"/>
          <w:color w:val="555555"/>
          <w:sz w:val="24"/>
          <w:szCs w:val="24"/>
        </w:rPr>
        <w:t xml:space="preserve">increased every year from a rate of 0.2% in 2012 to over 2% in 2015, driven by growth in the professional and business services sector and education and health sector.  </w:t>
      </w:r>
    </w:p>
    <w:p w:rsidR="005F19E9" w:rsidRDefault="00AF45DC" w:rsidP="0061489F">
      <w:pPr>
        <w:shd w:val="clear" w:color="auto" w:fill="FFFFFF"/>
        <w:tabs>
          <w:tab w:val="left" w:pos="720"/>
        </w:tabs>
        <w:spacing w:after="0" w:line="300" w:lineRule="auto"/>
        <w:textAlignment w:val="baseline"/>
        <w:rPr>
          <w:rFonts w:eastAsia="Times New Roman" w:cs="Arial"/>
          <w:color w:val="555555"/>
          <w:sz w:val="24"/>
          <w:szCs w:val="24"/>
        </w:rPr>
      </w:pPr>
      <w:r>
        <w:rPr>
          <w:rFonts w:eastAsia="Times New Roman" w:cs="Arial"/>
          <w:color w:val="555555"/>
          <w:sz w:val="24"/>
          <w:szCs w:val="24"/>
        </w:rPr>
        <w:tab/>
      </w:r>
      <w:r w:rsidR="0089268F">
        <w:rPr>
          <w:rFonts w:eastAsia="Times New Roman" w:cs="Arial"/>
          <w:color w:val="555555"/>
          <w:sz w:val="24"/>
          <w:szCs w:val="24"/>
        </w:rPr>
        <w:t xml:space="preserve">Over the past </w:t>
      </w:r>
      <w:r w:rsidR="00D1156C">
        <w:rPr>
          <w:rFonts w:eastAsia="Times New Roman" w:cs="Arial"/>
          <w:color w:val="555555"/>
          <w:sz w:val="24"/>
          <w:szCs w:val="24"/>
        </w:rPr>
        <w:t xml:space="preserve">three years the </w:t>
      </w:r>
      <w:r w:rsidR="00A0454E">
        <w:rPr>
          <w:rFonts w:eastAsia="Times New Roman" w:cs="Arial"/>
          <w:color w:val="555555"/>
          <w:sz w:val="24"/>
          <w:szCs w:val="24"/>
        </w:rPr>
        <w:t xml:space="preserve">Central Texas </w:t>
      </w:r>
      <w:r w:rsidR="00D1156C">
        <w:rPr>
          <w:rFonts w:eastAsia="Times New Roman" w:cs="Arial"/>
          <w:color w:val="555555"/>
          <w:sz w:val="24"/>
          <w:szCs w:val="24"/>
        </w:rPr>
        <w:t xml:space="preserve">economy has demonstrated strength and resilience that has drawn the attention of a growing group of persons </w:t>
      </w:r>
      <w:r w:rsidR="00A0454E">
        <w:rPr>
          <w:rFonts w:eastAsia="Times New Roman" w:cs="Arial"/>
          <w:color w:val="555555"/>
          <w:sz w:val="24"/>
          <w:szCs w:val="24"/>
        </w:rPr>
        <w:t>who</w:t>
      </w:r>
      <w:r w:rsidR="00D1156C">
        <w:rPr>
          <w:rFonts w:eastAsia="Times New Roman" w:cs="Arial"/>
          <w:color w:val="555555"/>
          <w:sz w:val="24"/>
          <w:szCs w:val="24"/>
        </w:rPr>
        <w:t xml:space="preserve"> have flocked to the </w:t>
      </w:r>
      <w:r w:rsidR="00A0454E">
        <w:rPr>
          <w:rFonts w:eastAsia="Times New Roman" w:cs="Arial"/>
          <w:color w:val="555555"/>
          <w:sz w:val="24"/>
          <w:szCs w:val="24"/>
        </w:rPr>
        <w:t xml:space="preserve">Texas </w:t>
      </w:r>
      <w:r w:rsidR="00D1156C">
        <w:rPr>
          <w:rFonts w:eastAsia="Times New Roman" w:cs="Arial"/>
          <w:color w:val="555555"/>
          <w:sz w:val="24"/>
          <w:szCs w:val="24"/>
        </w:rPr>
        <w:t xml:space="preserve">I-35 corridor </w:t>
      </w:r>
      <w:r w:rsidR="00A0454E">
        <w:rPr>
          <w:rFonts w:eastAsia="Times New Roman" w:cs="Arial"/>
          <w:color w:val="555555"/>
          <w:sz w:val="24"/>
          <w:szCs w:val="24"/>
        </w:rPr>
        <w:t>and are taking notice of Waco as</w:t>
      </w:r>
      <w:r w:rsidR="00D1156C">
        <w:rPr>
          <w:rFonts w:eastAsia="Times New Roman" w:cs="Arial"/>
          <w:color w:val="555555"/>
          <w:sz w:val="24"/>
          <w:szCs w:val="24"/>
        </w:rPr>
        <w:t xml:space="preserve"> a </w:t>
      </w:r>
      <w:r w:rsidR="00A0454E">
        <w:rPr>
          <w:rFonts w:eastAsia="Times New Roman" w:cs="Arial"/>
          <w:color w:val="555555"/>
          <w:sz w:val="24"/>
          <w:szCs w:val="24"/>
        </w:rPr>
        <w:t>favorable</w:t>
      </w:r>
      <w:r w:rsidR="00D1156C">
        <w:rPr>
          <w:rFonts w:eastAsia="Times New Roman" w:cs="Arial"/>
          <w:color w:val="555555"/>
          <w:sz w:val="24"/>
          <w:szCs w:val="24"/>
        </w:rPr>
        <w:t xml:space="preserve"> place to</w:t>
      </w:r>
      <w:r w:rsidR="00A0454E">
        <w:rPr>
          <w:rFonts w:eastAsia="Times New Roman" w:cs="Arial"/>
          <w:color w:val="555555"/>
          <w:sz w:val="24"/>
          <w:szCs w:val="24"/>
        </w:rPr>
        <w:t xml:space="preserve"> invest and enjoy affordable housing, less congestion, and growing amenities.</w:t>
      </w:r>
      <w:r w:rsidR="00D1156C">
        <w:rPr>
          <w:rFonts w:eastAsia="Times New Roman" w:cs="Arial"/>
          <w:color w:val="555555"/>
          <w:sz w:val="24"/>
          <w:szCs w:val="24"/>
        </w:rPr>
        <w:t xml:space="preserve">  The most obvious symbols of this activity </w:t>
      </w:r>
      <w:r w:rsidR="00A0454E">
        <w:rPr>
          <w:rFonts w:eastAsia="Times New Roman" w:cs="Arial"/>
          <w:color w:val="555555"/>
          <w:sz w:val="24"/>
          <w:szCs w:val="24"/>
        </w:rPr>
        <w:t>are</w:t>
      </w:r>
      <w:r w:rsidR="00D1156C">
        <w:rPr>
          <w:rFonts w:eastAsia="Times New Roman" w:cs="Arial"/>
          <w:color w:val="555555"/>
          <w:sz w:val="24"/>
          <w:szCs w:val="24"/>
        </w:rPr>
        <w:t xml:space="preserve"> the development of the downtown business district</w:t>
      </w:r>
      <w:r w:rsidR="00027055">
        <w:rPr>
          <w:rFonts w:eastAsia="Times New Roman" w:cs="Arial"/>
          <w:color w:val="555555"/>
          <w:sz w:val="24"/>
          <w:szCs w:val="24"/>
        </w:rPr>
        <w:t>,</w:t>
      </w:r>
      <w:r w:rsidR="00D1156C">
        <w:rPr>
          <w:rFonts w:eastAsia="Times New Roman" w:cs="Arial"/>
          <w:color w:val="555555"/>
          <w:sz w:val="24"/>
          <w:szCs w:val="24"/>
        </w:rPr>
        <w:t xml:space="preserve"> the Brazos River corridor that has been enhanced by the new </w:t>
      </w:r>
      <w:r w:rsidR="00A0454E">
        <w:rPr>
          <w:rFonts w:eastAsia="Times New Roman" w:cs="Arial"/>
          <w:color w:val="555555"/>
          <w:sz w:val="24"/>
          <w:szCs w:val="24"/>
        </w:rPr>
        <w:t>Baylor McLane Stadium</w:t>
      </w:r>
      <w:r w:rsidR="00027055">
        <w:rPr>
          <w:rFonts w:eastAsia="Times New Roman" w:cs="Arial"/>
          <w:color w:val="555555"/>
          <w:sz w:val="24"/>
          <w:szCs w:val="24"/>
        </w:rPr>
        <w:t>, the Farmer’s Market, the “fixer-upper” Silos, and</w:t>
      </w:r>
      <w:r w:rsidR="00A0454E">
        <w:rPr>
          <w:rFonts w:eastAsia="Times New Roman" w:cs="Arial"/>
          <w:color w:val="555555"/>
          <w:sz w:val="24"/>
          <w:szCs w:val="24"/>
        </w:rPr>
        <w:t xml:space="preserve"> the </w:t>
      </w:r>
      <w:r w:rsidR="00027055">
        <w:rPr>
          <w:rFonts w:eastAsia="Times New Roman" w:cs="Arial"/>
          <w:color w:val="555555"/>
          <w:sz w:val="24"/>
          <w:szCs w:val="24"/>
        </w:rPr>
        <w:t xml:space="preserve">growing impact </w:t>
      </w:r>
      <w:r w:rsidR="00A0454E">
        <w:rPr>
          <w:rFonts w:eastAsia="Times New Roman" w:cs="Arial"/>
          <w:color w:val="555555"/>
          <w:sz w:val="24"/>
          <w:szCs w:val="24"/>
        </w:rPr>
        <w:t>of museums, art galleries</w:t>
      </w:r>
      <w:r w:rsidR="00027055">
        <w:rPr>
          <w:rFonts w:eastAsia="Times New Roman" w:cs="Arial"/>
          <w:color w:val="555555"/>
          <w:sz w:val="24"/>
          <w:szCs w:val="24"/>
        </w:rPr>
        <w:t xml:space="preserve">, and performance venues promoted by the Waco Cultural Arts District.  </w:t>
      </w:r>
      <w:r w:rsidR="00F3471E">
        <w:rPr>
          <w:rFonts w:eastAsia="Times New Roman" w:cs="Arial"/>
          <w:color w:val="555555"/>
          <w:sz w:val="24"/>
          <w:szCs w:val="24"/>
        </w:rPr>
        <w:t>The r</w:t>
      </w:r>
      <w:r w:rsidR="004B7A21">
        <w:rPr>
          <w:rFonts w:eastAsia="Times New Roman" w:cs="Arial"/>
          <w:color w:val="555555"/>
          <w:sz w:val="24"/>
          <w:szCs w:val="24"/>
        </w:rPr>
        <w:t xml:space="preserve">ecord </w:t>
      </w:r>
      <w:r w:rsidR="00F3471E">
        <w:rPr>
          <w:rFonts w:eastAsia="Times New Roman" w:cs="Arial"/>
          <w:color w:val="555555"/>
          <w:sz w:val="24"/>
          <w:szCs w:val="24"/>
        </w:rPr>
        <w:t xml:space="preserve">high </w:t>
      </w:r>
      <w:r w:rsidR="004B7A21">
        <w:rPr>
          <w:rFonts w:eastAsia="Times New Roman" w:cs="Arial"/>
          <w:color w:val="555555"/>
          <w:sz w:val="24"/>
          <w:szCs w:val="24"/>
        </w:rPr>
        <w:t>occupancy rates of existing hotels ha</w:t>
      </w:r>
      <w:r w:rsidR="00F3471E">
        <w:rPr>
          <w:rFonts w:eastAsia="Times New Roman" w:cs="Arial"/>
          <w:color w:val="555555"/>
          <w:sz w:val="24"/>
          <w:szCs w:val="24"/>
        </w:rPr>
        <w:t>ve</w:t>
      </w:r>
      <w:r w:rsidR="004B7A21">
        <w:rPr>
          <w:rFonts w:eastAsia="Times New Roman" w:cs="Arial"/>
          <w:color w:val="555555"/>
          <w:sz w:val="24"/>
          <w:szCs w:val="24"/>
        </w:rPr>
        <w:t xml:space="preserve"> attracted new hotel investors that will further enhance Waco as a favorable location for </w:t>
      </w:r>
      <w:r w:rsidR="00F3471E">
        <w:rPr>
          <w:rFonts w:eastAsia="Times New Roman" w:cs="Arial"/>
          <w:color w:val="555555"/>
          <w:sz w:val="24"/>
          <w:szCs w:val="24"/>
        </w:rPr>
        <w:t>c</w:t>
      </w:r>
      <w:r w:rsidR="004B7A21">
        <w:rPr>
          <w:rFonts w:eastAsia="Times New Roman" w:cs="Arial"/>
          <w:color w:val="555555"/>
          <w:sz w:val="24"/>
          <w:szCs w:val="24"/>
        </w:rPr>
        <w:t>onventions and other visitor traffic next year.</w:t>
      </w:r>
      <w:r w:rsidR="005D778D">
        <w:rPr>
          <w:rFonts w:eastAsia="Times New Roman" w:cs="Arial"/>
          <w:color w:val="555555"/>
          <w:sz w:val="24"/>
          <w:szCs w:val="24"/>
        </w:rPr>
        <w:t xml:space="preserve">  </w:t>
      </w:r>
      <w:r w:rsidR="004B7A21">
        <w:rPr>
          <w:rFonts w:eastAsia="Times New Roman" w:cs="Arial"/>
          <w:color w:val="555555"/>
          <w:sz w:val="24"/>
          <w:szCs w:val="24"/>
        </w:rPr>
        <w:t xml:space="preserve">Health care and assisted living facilities are continuing to expand services due to rising income, population growth, and </w:t>
      </w:r>
      <w:r w:rsidR="005D778D">
        <w:rPr>
          <w:rFonts w:eastAsia="Times New Roman" w:cs="Arial"/>
          <w:color w:val="555555"/>
          <w:sz w:val="24"/>
          <w:szCs w:val="24"/>
        </w:rPr>
        <w:t>increase in retiring “baby boomers” who are attracted by Waco’s amenities and central Texas location.</w:t>
      </w:r>
      <w:r w:rsidR="000E5BB9">
        <w:rPr>
          <w:rFonts w:eastAsia="Times New Roman" w:cs="Arial"/>
          <w:color w:val="555555"/>
          <w:sz w:val="24"/>
          <w:szCs w:val="24"/>
        </w:rPr>
        <w:t xml:space="preserve"> </w:t>
      </w:r>
      <w:r w:rsidR="000E5BB9" w:rsidRPr="000E5BB9">
        <w:rPr>
          <w:rFonts w:eastAsia="Times New Roman" w:cs="Arial"/>
          <w:color w:val="555555"/>
          <w:sz w:val="24"/>
          <w:szCs w:val="24"/>
        </w:rPr>
        <w:t xml:space="preserve"> </w:t>
      </w:r>
      <w:r w:rsidR="000E5BB9">
        <w:rPr>
          <w:rFonts w:eastAsia="Times New Roman" w:cs="Arial"/>
          <w:color w:val="555555"/>
          <w:sz w:val="24"/>
          <w:szCs w:val="24"/>
        </w:rPr>
        <w:t xml:space="preserve">While </w:t>
      </w:r>
      <w:r w:rsidR="000E5BB9">
        <w:rPr>
          <w:rFonts w:eastAsia="Times New Roman" w:cs="Arial"/>
          <w:color w:val="555555"/>
          <w:sz w:val="24"/>
          <w:szCs w:val="24"/>
        </w:rPr>
        <w:t>recent</w:t>
      </w:r>
      <w:r w:rsidR="000E5BB9">
        <w:rPr>
          <w:rFonts w:eastAsia="Times New Roman" w:cs="Arial"/>
          <w:color w:val="555555"/>
          <w:sz w:val="24"/>
          <w:szCs w:val="24"/>
        </w:rPr>
        <w:t xml:space="preserve"> growth in the local economy </w:t>
      </w:r>
      <w:r w:rsidR="000E5BB9">
        <w:rPr>
          <w:rFonts w:eastAsia="Times New Roman" w:cs="Arial"/>
          <w:color w:val="555555"/>
          <w:sz w:val="24"/>
          <w:szCs w:val="24"/>
        </w:rPr>
        <w:t xml:space="preserve">and relatively slow growth in housing starts </w:t>
      </w:r>
      <w:r w:rsidR="000E5BB9">
        <w:rPr>
          <w:rFonts w:eastAsia="Times New Roman" w:cs="Arial"/>
          <w:color w:val="555555"/>
          <w:sz w:val="24"/>
          <w:szCs w:val="24"/>
        </w:rPr>
        <w:t>is putting upward pressure on housing prices, Waco’s housing affordability rate remains favorable</w:t>
      </w:r>
      <w:r w:rsidR="000E5BB9">
        <w:rPr>
          <w:rFonts w:eastAsia="Times New Roman" w:cs="Arial"/>
          <w:color w:val="555555"/>
          <w:sz w:val="24"/>
          <w:szCs w:val="24"/>
        </w:rPr>
        <w:t xml:space="preserve"> while</w:t>
      </w:r>
      <w:r w:rsidR="000E5BB9">
        <w:rPr>
          <w:rFonts w:eastAsia="Times New Roman" w:cs="Arial"/>
          <w:color w:val="555555"/>
          <w:sz w:val="24"/>
          <w:szCs w:val="24"/>
        </w:rPr>
        <w:t xml:space="preserve"> the annual rate of inflation in Central Texas remains close to the national average of about 2 percent.  The location of housing starts is partly due to the age distribution of the population.  Generation X that reached their independent household formation age in the 1980s favored suburban locations.  A higher percentage of the subsequent age group of Millennials have more recently favored multiunit housing near</w:t>
      </w:r>
      <w:r w:rsidR="000E5BB9">
        <w:rPr>
          <w:rFonts w:eastAsia="Times New Roman" w:cs="Arial"/>
          <w:color w:val="555555"/>
          <w:sz w:val="24"/>
          <w:szCs w:val="24"/>
        </w:rPr>
        <w:t>er</w:t>
      </w:r>
      <w:r w:rsidR="000E5BB9">
        <w:rPr>
          <w:rFonts w:eastAsia="Times New Roman" w:cs="Arial"/>
          <w:color w:val="555555"/>
          <w:sz w:val="24"/>
          <w:szCs w:val="24"/>
        </w:rPr>
        <w:t xml:space="preserve"> the urban core.  As Millennials age</w:t>
      </w:r>
      <w:r w:rsidR="007F57C5">
        <w:rPr>
          <w:rFonts w:eastAsia="Times New Roman" w:cs="Arial"/>
          <w:color w:val="555555"/>
          <w:sz w:val="24"/>
          <w:szCs w:val="24"/>
        </w:rPr>
        <w:t>,</w:t>
      </w:r>
      <w:r w:rsidR="000E5BB9">
        <w:rPr>
          <w:rFonts w:eastAsia="Times New Roman" w:cs="Arial"/>
          <w:color w:val="555555"/>
          <w:sz w:val="24"/>
          <w:szCs w:val="24"/>
        </w:rPr>
        <w:t xml:space="preserve"> increasing family formation will once again favor suburban housing locations, although core multiunit housing demand will be replaced by subsequent Generation Z (1998-) households and retiring Baby Boomers.  </w:t>
      </w:r>
      <w:r w:rsidR="00AF09C6">
        <w:rPr>
          <w:rFonts w:eastAsia="Times New Roman" w:cs="Arial"/>
          <w:color w:val="555555"/>
          <w:sz w:val="24"/>
          <w:szCs w:val="24"/>
        </w:rPr>
        <w:t>Although negative</w:t>
      </w:r>
      <w:r w:rsidR="00F1411B">
        <w:rPr>
          <w:rFonts w:eastAsia="Times New Roman" w:cs="Arial"/>
          <w:color w:val="555555"/>
          <w:sz w:val="24"/>
          <w:szCs w:val="24"/>
        </w:rPr>
        <w:t xml:space="preserve"> growth in local </w:t>
      </w:r>
      <w:r w:rsidR="00AF09C6">
        <w:rPr>
          <w:rFonts w:eastAsia="Times New Roman" w:cs="Arial"/>
          <w:color w:val="555555"/>
          <w:sz w:val="24"/>
          <w:szCs w:val="24"/>
        </w:rPr>
        <w:t xml:space="preserve">nonfarm </w:t>
      </w:r>
      <w:r w:rsidR="00F1411B">
        <w:rPr>
          <w:rFonts w:eastAsia="Times New Roman" w:cs="Arial"/>
          <w:color w:val="555555"/>
          <w:sz w:val="24"/>
          <w:szCs w:val="24"/>
        </w:rPr>
        <w:t>employment</w:t>
      </w:r>
      <w:r w:rsidR="0061489F">
        <w:rPr>
          <w:rFonts w:eastAsia="Times New Roman" w:cs="Arial"/>
          <w:color w:val="555555"/>
          <w:sz w:val="24"/>
          <w:szCs w:val="24"/>
        </w:rPr>
        <w:t xml:space="preserve"> and the labor force</w:t>
      </w:r>
      <w:r w:rsidR="00AF09C6">
        <w:rPr>
          <w:rFonts w:eastAsia="Times New Roman" w:cs="Arial"/>
          <w:color w:val="555555"/>
          <w:sz w:val="24"/>
          <w:szCs w:val="24"/>
        </w:rPr>
        <w:t xml:space="preserve"> has decreased slightly since August 2017, </w:t>
      </w:r>
      <w:r w:rsidR="0061489F">
        <w:rPr>
          <w:rFonts w:eastAsia="Times New Roman" w:cs="Arial"/>
          <w:color w:val="555555"/>
          <w:sz w:val="24"/>
          <w:szCs w:val="24"/>
        </w:rPr>
        <w:t xml:space="preserve">employment and population are projected to continue to increase over the next three years with local </w:t>
      </w:r>
      <w:r w:rsidR="00F1411B">
        <w:rPr>
          <w:rFonts w:eastAsia="Times New Roman" w:cs="Arial"/>
          <w:color w:val="555555"/>
          <w:sz w:val="24"/>
          <w:szCs w:val="24"/>
        </w:rPr>
        <w:t xml:space="preserve">population </w:t>
      </w:r>
      <w:r w:rsidR="00F1411B">
        <w:rPr>
          <w:rFonts w:eastAsia="Times New Roman" w:cs="Arial"/>
          <w:color w:val="555555"/>
          <w:sz w:val="24"/>
          <w:szCs w:val="24"/>
        </w:rPr>
        <w:t xml:space="preserve">projected </w:t>
      </w:r>
      <w:r w:rsidR="00F1411B">
        <w:rPr>
          <w:rFonts w:eastAsia="Times New Roman" w:cs="Arial"/>
          <w:color w:val="555555"/>
          <w:sz w:val="24"/>
          <w:szCs w:val="24"/>
        </w:rPr>
        <w:t xml:space="preserve">to increase by an average of 2,175 persons, or 0.8 percent annually.  </w:t>
      </w:r>
      <w:r w:rsidR="00F1411B">
        <w:rPr>
          <w:rFonts w:eastAsia="Times New Roman" w:cs="Arial"/>
          <w:color w:val="555555"/>
          <w:sz w:val="24"/>
          <w:szCs w:val="24"/>
        </w:rPr>
        <w:t xml:space="preserve"> </w:t>
      </w:r>
      <w:r w:rsidR="000E5BB9">
        <w:rPr>
          <w:rFonts w:eastAsia="Times New Roman" w:cs="Arial"/>
          <w:color w:val="555555"/>
          <w:sz w:val="24"/>
          <w:szCs w:val="24"/>
        </w:rPr>
        <w:t xml:space="preserve">  </w:t>
      </w:r>
      <w:r w:rsidR="005D778D">
        <w:rPr>
          <w:rFonts w:eastAsia="Times New Roman" w:cs="Arial"/>
          <w:color w:val="555555"/>
          <w:sz w:val="24"/>
          <w:szCs w:val="24"/>
        </w:rPr>
        <w:tab/>
      </w:r>
      <w:r w:rsidR="005F19E9">
        <w:rPr>
          <w:rFonts w:eastAsia="Times New Roman" w:cs="Arial"/>
          <w:color w:val="555555"/>
          <w:sz w:val="24"/>
          <w:szCs w:val="24"/>
        </w:rPr>
        <w:t xml:space="preserve"> </w:t>
      </w:r>
    </w:p>
    <w:p w:rsidR="002B1C30" w:rsidRDefault="005B1F54" w:rsidP="000D5FC4">
      <w:pPr>
        <w:shd w:val="clear" w:color="auto" w:fill="FFFFFF"/>
        <w:tabs>
          <w:tab w:val="left" w:pos="720"/>
        </w:tabs>
        <w:spacing w:after="0" w:line="300" w:lineRule="auto"/>
        <w:textAlignment w:val="baseline"/>
        <w:rPr>
          <w:rFonts w:eastAsia="Times New Roman" w:cs="Arial"/>
          <w:color w:val="555555"/>
          <w:sz w:val="24"/>
          <w:szCs w:val="24"/>
        </w:rPr>
      </w:pPr>
      <w:r>
        <w:rPr>
          <w:rFonts w:eastAsia="Times New Roman" w:cs="Arial"/>
          <w:color w:val="555555"/>
          <w:sz w:val="24"/>
          <w:szCs w:val="24"/>
        </w:rPr>
        <w:tab/>
      </w:r>
      <w:r w:rsidR="000E5BB9">
        <w:rPr>
          <w:rFonts w:eastAsia="Times New Roman" w:cs="Arial"/>
          <w:color w:val="555555"/>
          <w:sz w:val="24"/>
          <w:szCs w:val="24"/>
        </w:rPr>
        <w:t xml:space="preserve"> </w:t>
      </w:r>
    </w:p>
    <w:p w:rsidR="005B1F54" w:rsidRDefault="002B1C30" w:rsidP="000D5FC4">
      <w:pPr>
        <w:shd w:val="clear" w:color="auto" w:fill="FFFFFF"/>
        <w:tabs>
          <w:tab w:val="left" w:pos="720"/>
        </w:tabs>
        <w:spacing w:after="0" w:line="300" w:lineRule="auto"/>
        <w:textAlignment w:val="baseline"/>
        <w:rPr>
          <w:rFonts w:eastAsia="Times New Roman" w:cs="Arial"/>
          <w:color w:val="555555"/>
          <w:sz w:val="24"/>
          <w:szCs w:val="24"/>
        </w:rPr>
      </w:pPr>
      <w:r>
        <w:rPr>
          <w:rFonts w:eastAsia="Times New Roman" w:cs="Arial"/>
          <w:color w:val="555555"/>
          <w:sz w:val="24"/>
          <w:szCs w:val="24"/>
        </w:rPr>
        <w:tab/>
      </w:r>
      <w:r w:rsidR="00093705">
        <w:rPr>
          <w:rFonts w:eastAsia="Times New Roman" w:cs="Arial"/>
          <w:color w:val="555555"/>
          <w:sz w:val="24"/>
          <w:szCs w:val="24"/>
        </w:rPr>
        <w:t xml:space="preserve"> </w:t>
      </w:r>
    </w:p>
    <w:p w:rsidR="00BA7E61" w:rsidRPr="00BA7E61" w:rsidRDefault="00E46E2B" w:rsidP="000D5FC4">
      <w:pPr>
        <w:shd w:val="clear" w:color="auto" w:fill="FFFFFF"/>
        <w:tabs>
          <w:tab w:val="left" w:pos="720"/>
        </w:tabs>
        <w:spacing w:after="0" w:line="300" w:lineRule="auto"/>
        <w:textAlignment w:val="baseline"/>
        <w:rPr>
          <w:rFonts w:eastAsia="Times New Roman" w:cs="Arial"/>
          <w:color w:val="555555"/>
          <w:sz w:val="24"/>
          <w:szCs w:val="24"/>
        </w:rPr>
      </w:pPr>
      <w:r>
        <w:rPr>
          <w:rFonts w:eastAsia="Times New Roman" w:cs="Arial"/>
          <w:color w:val="555555"/>
          <w:sz w:val="24"/>
          <w:szCs w:val="24"/>
        </w:rPr>
        <w:t xml:space="preserve">  </w:t>
      </w:r>
      <w:r w:rsidR="00A7578B">
        <w:rPr>
          <w:rFonts w:eastAsia="Times New Roman" w:cs="Arial"/>
          <w:color w:val="555555"/>
          <w:sz w:val="24"/>
          <w:szCs w:val="24"/>
        </w:rPr>
        <w:t xml:space="preserve"> </w:t>
      </w:r>
    </w:p>
    <w:p w:rsidR="00BA7E61" w:rsidRPr="00BA7E61" w:rsidRDefault="00BA7E61" w:rsidP="00BA7E61">
      <w:pPr>
        <w:shd w:val="clear" w:color="auto" w:fill="FFFFFF"/>
        <w:tabs>
          <w:tab w:val="left" w:pos="720"/>
        </w:tabs>
        <w:spacing w:after="0" w:line="300" w:lineRule="auto"/>
        <w:jc w:val="center"/>
        <w:textAlignment w:val="baseline"/>
        <w:rPr>
          <w:rFonts w:eastAsia="Times New Roman" w:cs="Arial"/>
          <w:b/>
          <w:color w:val="555555"/>
          <w:sz w:val="26"/>
          <w:szCs w:val="26"/>
        </w:rPr>
      </w:pPr>
    </w:p>
    <w:p w:rsidR="00181FFF" w:rsidRDefault="00181FFF" w:rsidP="000608AB">
      <w:pPr>
        <w:shd w:val="clear" w:color="auto" w:fill="FFFFFF"/>
        <w:tabs>
          <w:tab w:val="left" w:pos="720"/>
        </w:tabs>
        <w:spacing w:after="0" w:line="300" w:lineRule="auto"/>
        <w:textAlignment w:val="baseline"/>
        <w:rPr>
          <w:rFonts w:eastAsia="Times New Roman" w:cs="Arial"/>
          <w:color w:val="555555"/>
          <w:sz w:val="24"/>
          <w:szCs w:val="24"/>
        </w:rPr>
      </w:pPr>
    </w:p>
    <w:p w:rsidR="00181FFF" w:rsidRDefault="00181FFF" w:rsidP="000608AB">
      <w:pPr>
        <w:shd w:val="clear" w:color="auto" w:fill="FFFFFF"/>
        <w:tabs>
          <w:tab w:val="left" w:pos="720"/>
        </w:tabs>
        <w:spacing w:after="0" w:line="300" w:lineRule="auto"/>
        <w:textAlignment w:val="baseline"/>
        <w:rPr>
          <w:rFonts w:eastAsia="Times New Roman" w:cs="Arial"/>
          <w:color w:val="555555"/>
          <w:sz w:val="24"/>
          <w:szCs w:val="24"/>
        </w:rPr>
      </w:pPr>
    </w:p>
    <w:p w:rsidR="00181FFF" w:rsidRPr="00181FFF" w:rsidRDefault="00181FFF" w:rsidP="00181FFF">
      <w:pPr>
        <w:spacing w:after="0" w:line="240" w:lineRule="auto"/>
        <w:rPr>
          <w:rFonts w:ascii="Calibri" w:eastAsia="Times New Roman" w:hAnsi="Calibri" w:cs="Times New Roman"/>
          <w:color w:val="000000"/>
          <w:sz w:val="24"/>
          <w:szCs w:val="24"/>
        </w:rPr>
      </w:pPr>
      <w:r w:rsidRPr="00181FFF">
        <w:rPr>
          <w:rFonts w:ascii="Calibri" w:eastAsia="Times New Roman" w:hAnsi="Calibri" w:cs="Times New Roman"/>
          <w:color w:val="000000"/>
          <w:sz w:val="24"/>
          <w:szCs w:val="24"/>
        </w:rPr>
        <w:t xml:space="preserve">     </w:t>
      </w:r>
    </w:p>
    <w:p w:rsidR="001F2686" w:rsidRDefault="002735AB" w:rsidP="000608AB">
      <w:pPr>
        <w:shd w:val="clear" w:color="auto" w:fill="FFFFFF"/>
        <w:tabs>
          <w:tab w:val="left" w:pos="720"/>
        </w:tabs>
        <w:spacing w:after="0" w:line="300" w:lineRule="auto"/>
        <w:textAlignment w:val="baseline"/>
        <w:rPr>
          <w:rFonts w:eastAsia="Times New Roman" w:cs="Arial"/>
          <w:color w:val="555555"/>
          <w:sz w:val="24"/>
          <w:szCs w:val="24"/>
        </w:rPr>
      </w:pPr>
      <w:r>
        <w:rPr>
          <w:rFonts w:eastAsia="Times New Roman" w:cs="Arial"/>
          <w:color w:val="555555"/>
          <w:sz w:val="24"/>
          <w:szCs w:val="24"/>
        </w:rPr>
        <w:t xml:space="preserve"> </w:t>
      </w:r>
    </w:p>
    <w:p w:rsidR="00B241CB" w:rsidRPr="00B532E6" w:rsidRDefault="001F2686" w:rsidP="000608AB">
      <w:pPr>
        <w:shd w:val="clear" w:color="auto" w:fill="FFFFFF"/>
        <w:tabs>
          <w:tab w:val="left" w:pos="720"/>
        </w:tabs>
        <w:spacing w:after="0" w:line="300" w:lineRule="auto"/>
        <w:textAlignment w:val="baseline"/>
        <w:rPr>
          <w:rFonts w:eastAsia="Times New Roman" w:cs="Arial"/>
          <w:color w:val="555555"/>
          <w:sz w:val="24"/>
          <w:szCs w:val="24"/>
        </w:rPr>
      </w:pPr>
      <w:r>
        <w:rPr>
          <w:rFonts w:eastAsia="Times New Roman" w:cs="Arial"/>
          <w:color w:val="555555"/>
          <w:sz w:val="24"/>
          <w:szCs w:val="24"/>
        </w:rPr>
        <w:t xml:space="preserve">  </w:t>
      </w:r>
    </w:p>
    <w:sectPr w:rsidR="00B241CB" w:rsidRPr="00B532E6" w:rsidSect="00FF76C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5DC" w:rsidRDefault="00AF45DC" w:rsidP="00FA1CEC">
      <w:pPr>
        <w:spacing w:after="0" w:line="240" w:lineRule="auto"/>
      </w:pPr>
      <w:r>
        <w:separator/>
      </w:r>
    </w:p>
  </w:endnote>
  <w:endnote w:type="continuationSeparator" w:id="0">
    <w:p w:rsidR="00AF45DC" w:rsidRDefault="00AF45DC" w:rsidP="00FA1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5DC" w:rsidRDefault="00AF4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210275"/>
      <w:docPartObj>
        <w:docPartGallery w:val="Page Numbers (Bottom of Page)"/>
        <w:docPartUnique/>
      </w:docPartObj>
    </w:sdtPr>
    <w:sdtEndPr>
      <w:rPr>
        <w:noProof/>
      </w:rPr>
    </w:sdtEndPr>
    <w:sdtContent>
      <w:p w:rsidR="00AF45DC" w:rsidRDefault="00AF45DC">
        <w:pPr>
          <w:pStyle w:val="Footer"/>
          <w:jc w:val="center"/>
        </w:pPr>
        <w:r>
          <w:fldChar w:fldCharType="begin"/>
        </w:r>
        <w:r>
          <w:instrText xml:space="preserve"> PAGE   \* MERGEFORMAT </w:instrText>
        </w:r>
        <w:r>
          <w:fldChar w:fldCharType="separate"/>
        </w:r>
        <w:r w:rsidR="009B3F76">
          <w:rPr>
            <w:noProof/>
          </w:rPr>
          <w:t>18</w:t>
        </w:r>
        <w:r>
          <w:rPr>
            <w:noProof/>
          </w:rPr>
          <w:fldChar w:fldCharType="end"/>
        </w:r>
      </w:p>
    </w:sdtContent>
  </w:sdt>
  <w:p w:rsidR="00AF45DC" w:rsidRDefault="00AF45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5DC" w:rsidRDefault="00AF4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5DC" w:rsidRDefault="00AF45DC" w:rsidP="00FA1CEC">
      <w:pPr>
        <w:spacing w:after="0" w:line="240" w:lineRule="auto"/>
      </w:pPr>
      <w:r>
        <w:separator/>
      </w:r>
    </w:p>
  </w:footnote>
  <w:footnote w:type="continuationSeparator" w:id="0">
    <w:p w:rsidR="00AF45DC" w:rsidRDefault="00AF45DC" w:rsidP="00FA1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5DC" w:rsidRDefault="00AF45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5DC" w:rsidRDefault="00AF45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5DC" w:rsidRDefault="00AF4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22DA5"/>
    <w:multiLevelType w:val="hybridMultilevel"/>
    <w:tmpl w:val="9C6A1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F7752"/>
    <w:multiLevelType w:val="hybridMultilevel"/>
    <w:tmpl w:val="7F1CE15E"/>
    <w:lvl w:ilvl="0" w:tplc="5696217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0C583B"/>
    <w:multiLevelType w:val="multilevel"/>
    <w:tmpl w:val="53FE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EC"/>
    <w:rsid w:val="00014B9A"/>
    <w:rsid w:val="00027055"/>
    <w:rsid w:val="00034D73"/>
    <w:rsid w:val="00044B99"/>
    <w:rsid w:val="000608AB"/>
    <w:rsid w:val="00062988"/>
    <w:rsid w:val="00062B6F"/>
    <w:rsid w:val="00065EBA"/>
    <w:rsid w:val="000664B8"/>
    <w:rsid w:val="000707C5"/>
    <w:rsid w:val="00081091"/>
    <w:rsid w:val="0008211B"/>
    <w:rsid w:val="00082695"/>
    <w:rsid w:val="00090C07"/>
    <w:rsid w:val="00092E31"/>
    <w:rsid w:val="00093705"/>
    <w:rsid w:val="000A50F2"/>
    <w:rsid w:val="000B22C1"/>
    <w:rsid w:val="000B33C6"/>
    <w:rsid w:val="000B761A"/>
    <w:rsid w:val="000C1A20"/>
    <w:rsid w:val="000C5D6B"/>
    <w:rsid w:val="000C68ED"/>
    <w:rsid w:val="000D0FB7"/>
    <w:rsid w:val="000D5FC4"/>
    <w:rsid w:val="000E0FEF"/>
    <w:rsid w:val="000E2ADB"/>
    <w:rsid w:val="000E5BB9"/>
    <w:rsid w:val="000F4ED3"/>
    <w:rsid w:val="000F691B"/>
    <w:rsid w:val="00100513"/>
    <w:rsid w:val="00103CCA"/>
    <w:rsid w:val="0011386A"/>
    <w:rsid w:val="001151AA"/>
    <w:rsid w:val="00131E78"/>
    <w:rsid w:val="00135AE9"/>
    <w:rsid w:val="00142388"/>
    <w:rsid w:val="0014306A"/>
    <w:rsid w:val="0015190D"/>
    <w:rsid w:val="001601B7"/>
    <w:rsid w:val="0016427F"/>
    <w:rsid w:val="00165C76"/>
    <w:rsid w:val="00174856"/>
    <w:rsid w:val="00181FFF"/>
    <w:rsid w:val="00184D87"/>
    <w:rsid w:val="00185FF2"/>
    <w:rsid w:val="0019229F"/>
    <w:rsid w:val="00193290"/>
    <w:rsid w:val="00193803"/>
    <w:rsid w:val="001A2868"/>
    <w:rsid w:val="001A517C"/>
    <w:rsid w:val="001C0EAF"/>
    <w:rsid w:val="001D17C3"/>
    <w:rsid w:val="001D6B51"/>
    <w:rsid w:val="001E07EA"/>
    <w:rsid w:val="001F2686"/>
    <w:rsid w:val="001F387A"/>
    <w:rsid w:val="001F79C2"/>
    <w:rsid w:val="00202C04"/>
    <w:rsid w:val="0020512B"/>
    <w:rsid w:val="002201FB"/>
    <w:rsid w:val="0022255D"/>
    <w:rsid w:val="002339AB"/>
    <w:rsid w:val="00234CEC"/>
    <w:rsid w:val="00236716"/>
    <w:rsid w:val="0025658A"/>
    <w:rsid w:val="0026286F"/>
    <w:rsid w:val="00264783"/>
    <w:rsid w:val="002735AB"/>
    <w:rsid w:val="002767DA"/>
    <w:rsid w:val="00285C25"/>
    <w:rsid w:val="002A2D9A"/>
    <w:rsid w:val="002A37D5"/>
    <w:rsid w:val="002B1C30"/>
    <w:rsid w:val="002C00EC"/>
    <w:rsid w:val="002E6F25"/>
    <w:rsid w:val="002F27CA"/>
    <w:rsid w:val="002F5425"/>
    <w:rsid w:val="002F64F1"/>
    <w:rsid w:val="003128D0"/>
    <w:rsid w:val="00314B1C"/>
    <w:rsid w:val="003223FC"/>
    <w:rsid w:val="00323814"/>
    <w:rsid w:val="003259C4"/>
    <w:rsid w:val="00335C92"/>
    <w:rsid w:val="0034025C"/>
    <w:rsid w:val="00340B4A"/>
    <w:rsid w:val="00340C19"/>
    <w:rsid w:val="00352442"/>
    <w:rsid w:val="00357E25"/>
    <w:rsid w:val="00366345"/>
    <w:rsid w:val="00375187"/>
    <w:rsid w:val="00382911"/>
    <w:rsid w:val="00383179"/>
    <w:rsid w:val="00383BEB"/>
    <w:rsid w:val="0039034F"/>
    <w:rsid w:val="00394F1F"/>
    <w:rsid w:val="00397997"/>
    <w:rsid w:val="003A0502"/>
    <w:rsid w:val="003B1AE6"/>
    <w:rsid w:val="003B27E7"/>
    <w:rsid w:val="003D33A1"/>
    <w:rsid w:val="003E2ADB"/>
    <w:rsid w:val="003E6181"/>
    <w:rsid w:val="003F7D29"/>
    <w:rsid w:val="00406038"/>
    <w:rsid w:val="00406AB1"/>
    <w:rsid w:val="00414352"/>
    <w:rsid w:val="00430961"/>
    <w:rsid w:val="00431823"/>
    <w:rsid w:val="00433615"/>
    <w:rsid w:val="00434F13"/>
    <w:rsid w:val="00460F34"/>
    <w:rsid w:val="0046151D"/>
    <w:rsid w:val="00482702"/>
    <w:rsid w:val="004832F3"/>
    <w:rsid w:val="0048624C"/>
    <w:rsid w:val="004A5FD2"/>
    <w:rsid w:val="004B7A21"/>
    <w:rsid w:val="004C2860"/>
    <w:rsid w:val="004D22D5"/>
    <w:rsid w:val="004E18B0"/>
    <w:rsid w:val="004E51F1"/>
    <w:rsid w:val="004F4AF2"/>
    <w:rsid w:val="00500E30"/>
    <w:rsid w:val="00520833"/>
    <w:rsid w:val="0053001E"/>
    <w:rsid w:val="0054470B"/>
    <w:rsid w:val="00544CBC"/>
    <w:rsid w:val="005528ED"/>
    <w:rsid w:val="0055476C"/>
    <w:rsid w:val="005611A8"/>
    <w:rsid w:val="0057106E"/>
    <w:rsid w:val="005757A7"/>
    <w:rsid w:val="005765A9"/>
    <w:rsid w:val="0059327F"/>
    <w:rsid w:val="005B1F54"/>
    <w:rsid w:val="005B579B"/>
    <w:rsid w:val="005B6FF8"/>
    <w:rsid w:val="005D3F0F"/>
    <w:rsid w:val="005D778D"/>
    <w:rsid w:val="005E158D"/>
    <w:rsid w:val="005E1809"/>
    <w:rsid w:val="005E331A"/>
    <w:rsid w:val="005F19E9"/>
    <w:rsid w:val="005F3504"/>
    <w:rsid w:val="005F4538"/>
    <w:rsid w:val="005F4B57"/>
    <w:rsid w:val="005F57D3"/>
    <w:rsid w:val="006042A0"/>
    <w:rsid w:val="006115C3"/>
    <w:rsid w:val="0061489F"/>
    <w:rsid w:val="00615AD2"/>
    <w:rsid w:val="00626C3A"/>
    <w:rsid w:val="00627D56"/>
    <w:rsid w:val="00632F0C"/>
    <w:rsid w:val="00642C86"/>
    <w:rsid w:val="00650C3F"/>
    <w:rsid w:val="00652467"/>
    <w:rsid w:val="00652F33"/>
    <w:rsid w:val="006532F5"/>
    <w:rsid w:val="0065469D"/>
    <w:rsid w:val="006551F4"/>
    <w:rsid w:val="006701AD"/>
    <w:rsid w:val="00681851"/>
    <w:rsid w:val="006934C7"/>
    <w:rsid w:val="006A636D"/>
    <w:rsid w:val="006B2D9F"/>
    <w:rsid w:val="006B7FAD"/>
    <w:rsid w:val="006C2FD9"/>
    <w:rsid w:val="006C6194"/>
    <w:rsid w:val="006D4D4C"/>
    <w:rsid w:val="006F6259"/>
    <w:rsid w:val="00701519"/>
    <w:rsid w:val="0070217D"/>
    <w:rsid w:val="00714559"/>
    <w:rsid w:val="007217BB"/>
    <w:rsid w:val="00724789"/>
    <w:rsid w:val="00725CF0"/>
    <w:rsid w:val="007271A3"/>
    <w:rsid w:val="007349D5"/>
    <w:rsid w:val="0074212E"/>
    <w:rsid w:val="00745F7E"/>
    <w:rsid w:val="00750FB4"/>
    <w:rsid w:val="00760289"/>
    <w:rsid w:val="007674BE"/>
    <w:rsid w:val="00771C3A"/>
    <w:rsid w:val="00777264"/>
    <w:rsid w:val="00787F05"/>
    <w:rsid w:val="00790950"/>
    <w:rsid w:val="00794795"/>
    <w:rsid w:val="007B5A22"/>
    <w:rsid w:val="007C19B3"/>
    <w:rsid w:val="007C647D"/>
    <w:rsid w:val="007D23DB"/>
    <w:rsid w:val="007E7FC0"/>
    <w:rsid w:val="007F1F5B"/>
    <w:rsid w:val="007F57C5"/>
    <w:rsid w:val="00803265"/>
    <w:rsid w:val="00807FB9"/>
    <w:rsid w:val="00812908"/>
    <w:rsid w:val="00813279"/>
    <w:rsid w:val="00813746"/>
    <w:rsid w:val="008217A2"/>
    <w:rsid w:val="00823D78"/>
    <w:rsid w:val="008263CD"/>
    <w:rsid w:val="00832EE1"/>
    <w:rsid w:val="0083443A"/>
    <w:rsid w:val="0083482C"/>
    <w:rsid w:val="00851948"/>
    <w:rsid w:val="008549A0"/>
    <w:rsid w:val="008606C3"/>
    <w:rsid w:val="0089268F"/>
    <w:rsid w:val="00895693"/>
    <w:rsid w:val="00895D7C"/>
    <w:rsid w:val="00896408"/>
    <w:rsid w:val="008A4C21"/>
    <w:rsid w:val="008B7F36"/>
    <w:rsid w:val="008C21C0"/>
    <w:rsid w:val="008C6D77"/>
    <w:rsid w:val="008C78D8"/>
    <w:rsid w:val="008E1B06"/>
    <w:rsid w:val="008E3119"/>
    <w:rsid w:val="008F3E6D"/>
    <w:rsid w:val="008F3E7B"/>
    <w:rsid w:val="00930554"/>
    <w:rsid w:val="0093227C"/>
    <w:rsid w:val="009361EA"/>
    <w:rsid w:val="00943298"/>
    <w:rsid w:val="00956776"/>
    <w:rsid w:val="00957622"/>
    <w:rsid w:val="00963F66"/>
    <w:rsid w:val="009646B1"/>
    <w:rsid w:val="009666A0"/>
    <w:rsid w:val="009666A8"/>
    <w:rsid w:val="00974652"/>
    <w:rsid w:val="00981DE9"/>
    <w:rsid w:val="00990DC8"/>
    <w:rsid w:val="00990E20"/>
    <w:rsid w:val="0099185E"/>
    <w:rsid w:val="00994124"/>
    <w:rsid w:val="00994BF7"/>
    <w:rsid w:val="009A0AD5"/>
    <w:rsid w:val="009A575D"/>
    <w:rsid w:val="009B13C6"/>
    <w:rsid w:val="009B3F76"/>
    <w:rsid w:val="009B796B"/>
    <w:rsid w:val="009C09F6"/>
    <w:rsid w:val="009C0B0B"/>
    <w:rsid w:val="009C29D1"/>
    <w:rsid w:val="009E191B"/>
    <w:rsid w:val="009E7B60"/>
    <w:rsid w:val="009F245E"/>
    <w:rsid w:val="00A0454E"/>
    <w:rsid w:val="00A069DA"/>
    <w:rsid w:val="00A227E6"/>
    <w:rsid w:val="00A32F56"/>
    <w:rsid w:val="00A333BC"/>
    <w:rsid w:val="00A34CCF"/>
    <w:rsid w:val="00A42CF8"/>
    <w:rsid w:val="00A45990"/>
    <w:rsid w:val="00A45EA0"/>
    <w:rsid w:val="00A51514"/>
    <w:rsid w:val="00A51DBC"/>
    <w:rsid w:val="00A5746E"/>
    <w:rsid w:val="00A66D25"/>
    <w:rsid w:val="00A672D7"/>
    <w:rsid w:val="00A74FFB"/>
    <w:rsid w:val="00A7578B"/>
    <w:rsid w:val="00A81D08"/>
    <w:rsid w:val="00A845FE"/>
    <w:rsid w:val="00AA2F3E"/>
    <w:rsid w:val="00AA3D52"/>
    <w:rsid w:val="00AA4E74"/>
    <w:rsid w:val="00AA4F3F"/>
    <w:rsid w:val="00AC00F5"/>
    <w:rsid w:val="00AC6A9D"/>
    <w:rsid w:val="00AD23D2"/>
    <w:rsid w:val="00AD4724"/>
    <w:rsid w:val="00AE5ED6"/>
    <w:rsid w:val="00AF09C6"/>
    <w:rsid w:val="00AF0C6C"/>
    <w:rsid w:val="00AF1AAC"/>
    <w:rsid w:val="00AF45DC"/>
    <w:rsid w:val="00AF507C"/>
    <w:rsid w:val="00B0668A"/>
    <w:rsid w:val="00B07D54"/>
    <w:rsid w:val="00B10BCE"/>
    <w:rsid w:val="00B22385"/>
    <w:rsid w:val="00B223B9"/>
    <w:rsid w:val="00B241CB"/>
    <w:rsid w:val="00B36BC2"/>
    <w:rsid w:val="00B416A3"/>
    <w:rsid w:val="00B44040"/>
    <w:rsid w:val="00B5100A"/>
    <w:rsid w:val="00B532E6"/>
    <w:rsid w:val="00B708A2"/>
    <w:rsid w:val="00B70F74"/>
    <w:rsid w:val="00B91B21"/>
    <w:rsid w:val="00B9614F"/>
    <w:rsid w:val="00BA7E61"/>
    <w:rsid w:val="00BB0F4A"/>
    <w:rsid w:val="00BB695E"/>
    <w:rsid w:val="00BC4C96"/>
    <w:rsid w:val="00BC6929"/>
    <w:rsid w:val="00BD6A03"/>
    <w:rsid w:val="00BE3228"/>
    <w:rsid w:val="00BE531B"/>
    <w:rsid w:val="00C001BF"/>
    <w:rsid w:val="00C020EC"/>
    <w:rsid w:val="00C13941"/>
    <w:rsid w:val="00C227B4"/>
    <w:rsid w:val="00C33042"/>
    <w:rsid w:val="00C34950"/>
    <w:rsid w:val="00C45BAB"/>
    <w:rsid w:val="00C47DB8"/>
    <w:rsid w:val="00C50F50"/>
    <w:rsid w:val="00C842A0"/>
    <w:rsid w:val="00CA52D1"/>
    <w:rsid w:val="00CA6F4A"/>
    <w:rsid w:val="00CB1E8E"/>
    <w:rsid w:val="00CD422E"/>
    <w:rsid w:val="00CE0A58"/>
    <w:rsid w:val="00CE6C17"/>
    <w:rsid w:val="00CF3401"/>
    <w:rsid w:val="00D05226"/>
    <w:rsid w:val="00D1156C"/>
    <w:rsid w:val="00D140EB"/>
    <w:rsid w:val="00D232E6"/>
    <w:rsid w:val="00D34959"/>
    <w:rsid w:val="00D648EB"/>
    <w:rsid w:val="00D736D3"/>
    <w:rsid w:val="00D8271E"/>
    <w:rsid w:val="00DA199C"/>
    <w:rsid w:val="00DB3A5A"/>
    <w:rsid w:val="00DB629C"/>
    <w:rsid w:val="00DC22F5"/>
    <w:rsid w:val="00DC2737"/>
    <w:rsid w:val="00DD1044"/>
    <w:rsid w:val="00DD2B4F"/>
    <w:rsid w:val="00DE4798"/>
    <w:rsid w:val="00DF72E3"/>
    <w:rsid w:val="00E06546"/>
    <w:rsid w:val="00E46E2B"/>
    <w:rsid w:val="00E55859"/>
    <w:rsid w:val="00E579CA"/>
    <w:rsid w:val="00E70E8B"/>
    <w:rsid w:val="00E72C3D"/>
    <w:rsid w:val="00E75998"/>
    <w:rsid w:val="00E76A56"/>
    <w:rsid w:val="00E8354F"/>
    <w:rsid w:val="00E87AD3"/>
    <w:rsid w:val="00E94B91"/>
    <w:rsid w:val="00E9532C"/>
    <w:rsid w:val="00E95342"/>
    <w:rsid w:val="00EA3427"/>
    <w:rsid w:val="00EA7ABC"/>
    <w:rsid w:val="00EB58D5"/>
    <w:rsid w:val="00EC3470"/>
    <w:rsid w:val="00F13948"/>
    <w:rsid w:val="00F13D1B"/>
    <w:rsid w:val="00F1411B"/>
    <w:rsid w:val="00F145A5"/>
    <w:rsid w:val="00F2577A"/>
    <w:rsid w:val="00F301EF"/>
    <w:rsid w:val="00F3471E"/>
    <w:rsid w:val="00F43E7A"/>
    <w:rsid w:val="00F50351"/>
    <w:rsid w:val="00F5311F"/>
    <w:rsid w:val="00F55A5E"/>
    <w:rsid w:val="00F611E7"/>
    <w:rsid w:val="00F71B19"/>
    <w:rsid w:val="00F72FB8"/>
    <w:rsid w:val="00F81B21"/>
    <w:rsid w:val="00F9290A"/>
    <w:rsid w:val="00F94CC6"/>
    <w:rsid w:val="00F94CE8"/>
    <w:rsid w:val="00FA1CEC"/>
    <w:rsid w:val="00FA638B"/>
    <w:rsid w:val="00FB03D4"/>
    <w:rsid w:val="00FB2B1F"/>
    <w:rsid w:val="00FB5866"/>
    <w:rsid w:val="00FC6FC3"/>
    <w:rsid w:val="00FD6908"/>
    <w:rsid w:val="00FE1804"/>
    <w:rsid w:val="00FF7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A88E7"/>
  <w15:chartTrackingRefBased/>
  <w15:docId w15:val="{AD231FAB-0E5E-4675-B971-326EABEA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0EC"/>
  </w:style>
  <w:style w:type="paragraph" w:styleId="Heading2">
    <w:name w:val="heading 2"/>
    <w:basedOn w:val="Normal"/>
    <w:link w:val="Heading2Char"/>
    <w:uiPriority w:val="9"/>
    <w:qFormat/>
    <w:rsid w:val="003223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767DA"/>
    <w:rPr>
      <w:sz w:val="16"/>
      <w:szCs w:val="16"/>
    </w:rPr>
  </w:style>
  <w:style w:type="paragraph" w:styleId="CommentText">
    <w:name w:val="annotation text"/>
    <w:basedOn w:val="Normal"/>
    <w:link w:val="CommentTextChar"/>
    <w:uiPriority w:val="99"/>
    <w:semiHidden/>
    <w:unhideWhenUsed/>
    <w:rsid w:val="002767DA"/>
    <w:pPr>
      <w:spacing w:line="240" w:lineRule="auto"/>
    </w:pPr>
    <w:rPr>
      <w:sz w:val="20"/>
      <w:szCs w:val="20"/>
    </w:rPr>
  </w:style>
  <w:style w:type="character" w:customStyle="1" w:styleId="CommentTextChar">
    <w:name w:val="Comment Text Char"/>
    <w:basedOn w:val="DefaultParagraphFont"/>
    <w:link w:val="CommentText"/>
    <w:uiPriority w:val="99"/>
    <w:semiHidden/>
    <w:rsid w:val="002767DA"/>
    <w:rPr>
      <w:sz w:val="20"/>
      <w:szCs w:val="20"/>
    </w:rPr>
  </w:style>
  <w:style w:type="paragraph" w:styleId="CommentSubject">
    <w:name w:val="annotation subject"/>
    <w:basedOn w:val="CommentText"/>
    <w:next w:val="CommentText"/>
    <w:link w:val="CommentSubjectChar"/>
    <w:uiPriority w:val="99"/>
    <w:semiHidden/>
    <w:unhideWhenUsed/>
    <w:rsid w:val="002767DA"/>
    <w:rPr>
      <w:b/>
      <w:bCs/>
    </w:rPr>
  </w:style>
  <w:style w:type="character" w:customStyle="1" w:styleId="CommentSubjectChar">
    <w:name w:val="Comment Subject Char"/>
    <w:basedOn w:val="CommentTextChar"/>
    <w:link w:val="CommentSubject"/>
    <w:uiPriority w:val="99"/>
    <w:semiHidden/>
    <w:rsid w:val="002767DA"/>
    <w:rPr>
      <w:b/>
      <w:bCs/>
      <w:sz w:val="20"/>
      <w:szCs w:val="20"/>
    </w:rPr>
  </w:style>
  <w:style w:type="paragraph" w:styleId="BalloonText">
    <w:name w:val="Balloon Text"/>
    <w:basedOn w:val="Normal"/>
    <w:link w:val="BalloonTextChar"/>
    <w:uiPriority w:val="99"/>
    <w:semiHidden/>
    <w:unhideWhenUsed/>
    <w:rsid w:val="00276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7DA"/>
    <w:rPr>
      <w:rFonts w:ascii="Segoe UI" w:hAnsi="Segoe UI" w:cs="Segoe UI"/>
      <w:sz w:val="18"/>
      <w:szCs w:val="18"/>
    </w:rPr>
  </w:style>
  <w:style w:type="character" w:customStyle="1" w:styleId="Heading2Char">
    <w:name w:val="Heading 2 Char"/>
    <w:basedOn w:val="DefaultParagraphFont"/>
    <w:link w:val="Heading2"/>
    <w:uiPriority w:val="9"/>
    <w:rsid w:val="003223FC"/>
    <w:rPr>
      <w:rFonts w:ascii="Times New Roman" w:eastAsia="Times New Roman" w:hAnsi="Times New Roman" w:cs="Times New Roman"/>
      <w:b/>
      <w:bCs/>
      <w:sz w:val="36"/>
      <w:szCs w:val="36"/>
    </w:rPr>
  </w:style>
  <w:style w:type="table" w:styleId="PlainTable1">
    <w:name w:val="Plain Table 1"/>
    <w:basedOn w:val="TableNormal"/>
    <w:uiPriority w:val="41"/>
    <w:rsid w:val="003223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3223F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23FC"/>
    <w:pPr>
      <w:ind w:left="720"/>
      <w:contextualSpacing/>
    </w:pPr>
  </w:style>
  <w:style w:type="paragraph" w:styleId="Header">
    <w:name w:val="header"/>
    <w:basedOn w:val="Normal"/>
    <w:link w:val="HeaderChar"/>
    <w:uiPriority w:val="99"/>
    <w:unhideWhenUsed/>
    <w:rsid w:val="00FA1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CEC"/>
  </w:style>
  <w:style w:type="paragraph" w:styleId="Footer">
    <w:name w:val="footer"/>
    <w:basedOn w:val="Normal"/>
    <w:link w:val="FooterChar"/>
    <w:uiPriority w:val="99"/>
    <w:unhideWhenUsed/>
    <w:rsid w:val="00FA1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CEC"/>
  </w:style>
  <w:style w:type="character" w:styleId="Hyperlink">
    <w:name w:val="Hyperlink"/>
    <w:basedOn w:val="DefaultParagraphFont"/>
    <w:uiPriority w:val="99"/>
    <w:semiHidden/>
    <w:unhideWhenUsed/>
    <w:rsid w:val="00CA52D1"/>
    <w:rPr>
      <w:color w:val="0000FF"/>
      <w:u w:val="single"/>
    </w:rPr>
  </w:style>
  <w:style w:type="character" w:styleId="Strong">
    <w:name w:val="Strong"/>
    <w:basedOn w:val="DefaultParagraphFont"/>
    <w:uiPriority w:val="22"/>
    <w:qFormat/>
    <w:rsid w:val="00CA52D1"/>
    <w:rPr>
      <w:b/>
      <w:bCs/>
    </w:rPr>
  </w:style>
  <w:style w:type="character" w:customStyle="1" w:styleId="nobr">
    <w:name w:val="nobr"/>
    <w:basedOn w:val="DefaultParagraphFont"/>
    <w:rsid w:val="003128D0"/>
  </w:style>
  <w:style w:type="table" w:styleId="TableGridLight">
    <w:name w:val="Grid Table Light"/>
    <w:basedOn w:val="TableNormal"/>
    <w:uiPriority w:val="40"/>
    <w:rsid w:val="006115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B416A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5644">
      <w:bodyDiv w:val="1"/>
      <w:marLeft w:val="0"/>
      <w:marRight w:val="0"/>
      <w:marTop w:val="0"/>
      <w:marBottom w:val="0"/>
      <w:divBdr>
        <w:top w:val="none" w:sz="0" w:space="0" w:color="auto"/>
        <w:left w:val="none" w:sz="0" w:space="0" w:color="auto"/>
        <w:bottom w:val="none" w:sz="0" w:space="0" w:color="auto"/>
        <w:right w:val="none" w:sz="0" w:space="0" w:color="auto"/>
      </w:divBdr>
    </w:div>
    <w:div w:id="181172151">
      <w:bodyDiv w:val="1"/>
      <w:marLeft w:val="0"/>
      <w:marRight w:val="0"/>
      <w:marTop w:val="0"/>
      <w:marBottom w:val="0"/>
      <w:divBdr>
        <w:top w:val="none" w:sz="0" w:space="0" w:color="auto"/>
        <w:left w:val="none" w:sz="0" w:space="0" w:color="auto"/>
        <w:bottom w:val="none" w:sz="0" w:space="0" w:color="auto"/>
        <w:right w:val="none" w:sz="0" w:space="0" w:color="auto"/>
      </w:divBdr>
    </w:div>
    <w:div w:id="195461013">
      <w:bodyDiv w:val="1"/>
      <w:marLeft w:val="0"/>
      <w:marRight w:val="0"/>
      <w:marTop w:val="0"/>
      <w:marBottom w:val="0"/>
      <w:divBdr>
        <w:top w:val="none" w:sz="0" w:space="0" w:color="auto"/>
        <w:left w:val="none" w:sz="0" w:space="0" w:color="auto"/>
        <w:bottom w:val="none" w:sz="0" w:space="0" w:color="auto"/>
        <w:right w:val="none" w:sz="0" w:space="0" w:color="auto"/>
      </w:divBdr>
      <w:divsChild>
        <w:div w:id="151261092">
          <w:marLeft w:val="0"/>
          <w:marRight w:val="0"/>
          <w:marTop w:val="0"/>
          <w:marBottom w:val="0"/>
          <w:divBdr>
            <w:top w:val="none" w:sz="0" w:space="0" w:color="auto"/>
            <w:left w:val="none" w:sz="0" w:space="0" w:color="auto"/>
            <w:bottom w:val="none" w:sz="0" w:space="0" w:color="auto"/>
            <w:right w:val="none" w:sz="0" w:space="0" w:color="auto"/>
          </w:divBdr>
          <w:divsChild>
            <w:div w:id="8558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6419">
      <w:bodyDiv w:val="1"/>
      <w:marLeft w:val="0"/>
      <w:marRight w:val="0"/>
      <w:marTop w:val="0"/>
      <w:marBottom w:val="0"/>
      <w:divBdr>
        <w:top w:val="none" w:sz="0" w:space="0" w:color="auto"/>
        <w:left w:val="none" w:sz="0" w:space="0" w:color="auto"/>
        <w:bottom w:val="none" w:sz="0" w:space="0" w:color="auto"/>
        <w:right w:val="none" w:sz="0" w:space="0" w:color="auto"/>
      </w:divBdr>
      <w:divsChild>
        <w:div w:id="2124835518">
          <w:marLeft w:val="0"/>
          <w:marRight w:val="0"/>
          <w:marTop w:val="0"/>
          <w:marBottom w:val="0"/>
          <w:divBdr>
            <w:top w:val="none" w:sz="0" w:space="0" w:color="auto"/>
            <w:left w:val="none" w:sz="0" w:space="0" w:color="auto"/>
            <w:bottom w:val="none" w:sz="0" w:space="0" w:color="auto"/>
            <w:right w:val="none" w:sz="0" w:space="0" w:color="auto"/>
          </w:divBdr>
          <w:divsChild>
            <w:div w:id="206796368">
              <w:marLeft w:val="0"/>
              <w:marRight w:val="0"/>
              <w:marTop w:val="0"/>
              <w:marBottom w:val="0"/>
              <w:divBdr>
                <w:top w:val="none" w:sz="0" w:space="0" w:color="auto"/>
                <w:left w:val="none" w:sz="0" w:space="0" w:color="auto"/>
                <w:bottom w:val="none" w:sz="0" w:space="0" w:color="auto"/>
                <w:right w:val="none" w:sz="0" w:space="0" w:color="auto"/>
              </w:divBdr>
              <w:divsChild>
                <w:div w:id="1007945745">
                  <w:marLeft w:val="0"/>
                  <w:marRight w:val="0"/>
                  <w:marTop w:val="0"/>
                  <w:marBottom w:val="0"/>
                  <w:divBdr>
                    <w:top w:val="none" w:sz="0" w:space="0" w:color="auto"/>
                    <w:left w:val="none" w:sz="0" w:space="0" w:color="auto"/>
                    <w:bottom w:val="none" w:sz="0" w:space="0" w:color="auto"/>
                    <w:right w:val="none" w:sz="0" w:space="0" w:color="auto"/>
                  </w:divBdr>
                  <w:divsChild>
                    <w:div w:id="1679576418">
                      <w:marLeft w:val="0"/>
                      <w:marRight w:val="0"/>
                      <w:marTop w:val="0"/>
                      <w:marBottom w:val="0"/>
                      <w:divBdr>
                        <w:top w:val="none" w:sz="0" w:space="0" w:color="auto"/>
                        <w:left w:val="none" w:sz="0" w:space="0" w:color="auto"/>
                        <w:bottom w:val="none" w:sz="0" w:space="0" w:color="auto"/>
                        <w:right w:val="none" w:sz="0" w:space="0" w:color="auto"/>
                      </w:divBdr>
                      <w:divsChild>
                        <w:div w:id="586547216">
                          <w:marLeft w:val="0"/>
                          <w:marRight w:val="0"/>
                          <w:marTop w:val="0"/>
                          <w:marBottom w:val="0"/>
                          <w:divBdr>
                            <w:top w:val="none" w:sz="0" w:space="0" w:color="auto"/>
                            <w:left w:val="none" w:sz="0" w:space="0" w:color="auto"/>
                            <w:bottom w:val="none" w:sz="0" w:space="0" w:color="auto"/>
                            <w:right w:val="none" w:sz="0" w:space="0" w:color="auto"/>
                          </w:divBdr>
                          <w:divsChild>
                            <w:div w:id="890386146">
                              <w:marLeft w:val="0"/>
                              <w:marRight w:val="0"/>
                              <w:marTop w:val="0"/>
                              <w:marBottom w:val="0"/>
                              <w:divBdr>
                                <w:top w:val="none" w:sz="0" w:space="0" w:color="auto"/>
                                <w:left w:val="none" w:sz="0" w:space="0" w:color="auto"/>
                                <w:bottom w:val="none" w:sz="0" w:space="0" w:color="auto"/>
                                <w:right w:val="none" w:sz="0" w:space="0" w:color="auto"/>
                              </w:divBdr>
                              <w:divsChild>
                                <w:div w:id="1454251852">
                                  <w:marLeft w:val="0"/>
                                  <w:marRight w:val="0"/>
                                  <w:marTop w:val="0"/>
                                  <w:marBottom w:val="0"/>
                                  <w:divBdr>
                                    <w:top w:val="none" w:sz="0" w:space="0" w:color="auto"/>
                                    <w:left w:val="none" w:sz="0" w:space="0" w:color="auto"/>
                                    <w:bottom w:val="none" w:sz="0" w:space="0" w:color="auto"/>
                                    <w:right w:val="none" w:sz="0" w:space="0" w:color="auto"/>
                                  </w:divBdr>
                                  <w:divsChild>
                                    <w:div w:id="12021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3832606">
      <w:bodyDiv w:val="1"/>
      <w:marLeft w:val="0"/>
      <w:marRight w:val="0"/>
      <w:marTop w:val="0"/>
      <w:marBottom w:val="0"/>
      <w:divBdr>
        <w:top w:val="none" w:sz="0" w:space="0" w:color="auto"/>
        <w:left w:val="none" w:sz="0" w:space="0" w:color="auto"/>
        <w:bottom w:val="none" w:sz="0" w:space="0" w:color="auto"/>
        <w:right w:val="none" w:sz="0" w:space="0" w:color="auto"/>
      </w:divBdr>
    </w:div>
    <w:div w:id="759520873">
      <w:bodyDiv w:val="1"/>
      <w:marLeft w:val="0"/>
      <w:marRight w:val="0"/>
      <w:marTop w:val="0"/>
      <w:marBottom w:val="0"/>
      <w:divBdr>
        <w:top w:val="none" w:sz="0" w:space="0" w:color="auto"/>
        <w:left w:val="none" w:sz="0" w:space="0" w:color="auto"/>
        <w:bottom w:val="none" w:sz="0" w:space="0" w:color="auto"/>
        <w:right w:val="none" w:sz="0" w:space="0" w:color="auto"/>
      </w:divBdr>
    </w:div>
    <w:div w:id="809519382">
      <w:bodyDiv w:val="1"/>
      <w:marLeft w:val="0"/>
      <w:marRight w:val="0"/>
      <w:marTop w:val="0"/>
      <w:marBottom w:val="0"/>
      <w:divBdr>
        <w:top w:val="none" w:sz="0" w:space="0" w:color="auto"/>
        <w:left w:val="none" w:sz="0" w:space="0" w:color="auto"/>
        <w:bottom w:val="none" w:sz="0" w:space="0" w:color="auto"/>
        <w:right w:val="none" w:sz="0" w:space="0" w:color="auto"/>
      </w:divBdr>
    </w:div>
    <w:div w:id="842671656">
      <w:bodyDiv w:val="1"/>
      <w:marLeft w:val="0"/>
      <w:marRight w:val="0"/>
      <w:marTop w:val="0"/>
      <w:marBottom w:val="0"/>
      <w:divBdr>
        <w:top w:val="none" w:sz="0" w:space="0" w:color="auto"/>
        <w:left w:val="none" w:sz="0" w:space="0" w:color="auto"/>
        <w:bottom w:val="none" w:sz="0" w:space="0" w:color="auto"/>
        <w:right w:val="none" w:sz="0" w:space="0" w:color="auto"/>
      </w:divBdr>
      <w:divsChild>
        <w:div w:id="1025136304">
          <w:marLeft w:val="0"/>
          <w:marRight w:val="0"/>
          <w:marTop w:val="0"/>
          <w:marBottom w:val="0"/>
          <w:divBdr>
            <w:top w:val="none" w:sz="0" w:space="0" w:color="auto"/>
            <w:left w:val="none" w:sz="0" w:space="0" w:color="auto"/>
            <w:bottom w:val="none" w:sz="0" w:space="0" w:color="auto"/>
            <w:right w:val="none" w:sz="0" w:space="0" w:color="auto"/>
          </w:divBdr>
          <w:divsChild>
            <w:div w:id="120324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6464">
      <w:bodyDiv w:val="1"/>
      <w:marLeft w:val="0"/>
      <w:marRight w:val="0"/>
      <w:marTop w:val="0"/>
      <w:marBottom w:val="0"/>
      <w:divBdr>
        <w:top w:val="none" w:sz="0" w:space="0" w:color="auto"/>
        <w:left w:val="none" w:sz="0" w:space="0" w:color="auto"/>
        <w:bottom w:val="none" w:sz="0" w:space="0" w:color="auto"/>
        <w:right w:val="none" w:sz="0" w:space="0" w:color="auto"/>
      </w:divBdr>
      <w:divsChild>
        <w:div w:id="1817523738">
          <w:marLeft w:val="0"/>
          <w:marRight w:val="0"/>
          <w:marTop w:val="0"/>
          <w:marBottom w:val="0"/>
          <w:divBdr>
            <w:top w:val="none" w:sz="0" w:space="0" w:color="auto"/>
            <w:left w:val="none" w:sz="0" w:space="0" w:color="auto"/>
            <w:bottom w:val="none" w:sz="0" w:space="0" w:color="auto"/>
            <w:right w:val="none" w:sz="0" w:space="0" w:color="auto"/>
          </w:divBdr>
        </w:div>
      </w:divsChild>
    </w:div>
    <w:div w:id="1050418043">
      <w:bodyDiv w:val="1"/>
      <w:marLeft w:val="0"/>
      <w:marRight w:val="0"/>
      <w:marTop w:val="0"/>
      <w:marBottom w:val="0"/>
      <w:divBdr>
        <w:top w:val="none" w:sz="0" w:space="0" w:color="auto"/>
        <w:left w:val="none" w:sz="0" w:space="0" w:color="auto"/>
        <w:bottom w:val="none" w:sz="0" w:space="0" w:color="auto"/>
        <w:right w:val="none" w:sz="0" w:space="0" w:color="auto"/>
      </w:divBdr>
    </w:div>
    <w:div w:id="1088885227">
      <w:bodyDiv w:val="1"/>
      <w:marLeft w:val="0"/>
      <w:marRight w:val="0"/>
      <w:marTop w:val="0"/>
      <w:marBottom w:val="0"/>
      <w:divBdr>
        <w:top w:val="none" w:sz="0" w:space="0" w:color="auto"/>
        <w:left w:val="none" w:sz="0" w:space="0" w:color="auto"/>
        <w:bottom w:val="none" w:sz="0" w:space="0" w:color="auto"/>
        <w:right w:val="none" w:sz="0" w:space="0" w:color="auto"/>
      </w:divBdr>
    </w:div>
    <w:div w:id="1146435010">
      <w:bodyDiv w:val="1"/>
      <w:marLeft w:val="0"/>
      <w:marRight w:val="0"/>
      <w:marTop w:val="0"/>
      <w:marBottom w:val="0"/>
      <w:divBdr>
        <w:top w:val="none" w:sz="0" w:space="0" w:color="auto"/>
        <w:left w:val="none" w:sz="0" w:space="0" w:color="auto"/>
        <w:bottom w:val="none" w:sz="0" w:space="0" w:color="auto"/>
        <w:right w:val="none" w:sz="0" w:space="0" w:color="auto"/>
      </w:divBdr>
    </w:div>
    <w:div w:id="1197231360">
      <w:bodyDiv w:val="1"/>
      <w:marLeft w:val="0"/>
      <w:marRight w:val="0"/>
      <w:marTop w:val="0"/>
      <w:marBottom w:val="0"/>
      <w:divBdr>
        <w:top w:val="none" w:sz="0" w:space="0" w:color="auto"/>
        <w:left w:val="none" w:sz="0" w:space="0" w:color="auto"/>
        <w:bottom w:val="none" w:sz="0" w:space="0" w:color="auto"/>
        <w:right w:val="none" w:sz="0" w:space="0" w:color="auto"/>
      </w:divBdr>
    </w:div>
    <w:div w:id="1264848517">
      <w:bodyDiv w:val="1"/>
      <w:marLeft w:val="0"/>
      <w:marRight w:val="0"/>
      <w:marTop w:val="0"/>
      <w:marBottom w:val="0"/>
      <w:divBdr>
        <w:top w:val="none" w:sz="0" w:space="0" w:color="auto"/>
        <w:left w:val="none" w:sz="0" w:space="0" w:color="auto"/>
        <w:bottom w:val="none" w:sz="0" w:space="0" w:color="auto"/>
        <w:right w:val="none" w:sz="0" w:space="0" w:color="auto"/>
      </w:divBdr>
    </w:div>
    <w:div w:id="1326204391">
      <w:bodyDiv w:val="1"/>
      <w:marLeft w:val="0"/>
      <w:marRight w:val="0"/>
      <w:marTop w:val="0"/>
      <w:marBottom w:val="0"/>
      <w:divBdr>
        <w:top w:val="none" w:sz="0" w:space="0" w:color="auto"/>
        <w:left w:val="none" w:sz="0" w:space="0" w:color="auto"/>
        <w:bottom w:val="none" w:sz="0" w:space="0" w:color="auto"/>
        <w:right w:val="none" w:sz="0" w:space="0" w:color="auto"/>
      </w:divBdr>
    </w:div>
    <w:div w:id="1387800750">
      <w:bodyDiv w:val="1"/>
      <w:marLeft w:val="0"/>
      <w:marRight w:val="0"/>
      <w:marTop w:val="0"/>
      <w:marBottom w:val="0"/>
      <w:divBdr>
        <w:top w:val="none" w:sz="0" w:space="0" w:color="auto"/>
        <w:left w:val="none" w:sz="0" w:space="0" w:color="auto"/>
        <w:bottom w:val="none" w:sz="0" w:space="0" w:color="auto"/>
        <w:right w:val="none" w:sz="0" w:space="0" w:color="auto"/>
      </w:divBdr>
      <w:divsChild>
        <w:div w:id="1481532839">
          <w:marLeft w:val="0"/>
          <w:marRight w:val="0"/>
          <w:marTop w:val="0"/>
          <w:marBottom w:val="0"/>
          <w:divBdr>
            <w:top w:val="none" w:sz="0" w:space="0" w:color="auto"/>
            <w:left w:val="none" w:sz="0" w:space="0" w:color="auto"/>
            <w:bottom w:val="none" w:sz="0" w:space="0" w:color="auto"/>
            <w:right w:val="none" w:sz="0" w:space="0" w:color="auto"/>
          </w:divBdr>
          <w:divsChild>
            <w:div w:id="1547108955">
              <w:marLeft w:val="0"/>
              <w:marRight w:val="0"/>
              <w:marTop w:val="0"/>
              <w:marBottom w:val="0"/>
              <w:divBdr>
                <w:top w:val="none" w:sz="0" w:space="0" w:color="auto"/>
                <w:left w:val="none" w:sz="0" w:space="0" w:color="auto"/>
                <w:bottom w:val="none" w:sz="0" w:space="0" w:color="auto"/>
                <w:right w:val="none" w:sz="0" w:space="0" w:color="auto"/>
              </w:divBdr>
              <w:divsChild>
                <w:div w:id="1495295793">
                  <w:marLeft w:val="0"/>
                  <w:marRight w:val="0"/>
                  <w:marTop w:val="0"/>
                  <w:marBottom w:val="0"/>
                  <w:divBdr>
                    <w:top w:val="none" w:sz="0" w:space="0" w:color="auto"/>
                    <w:left w:val="none" w:sz="0" w:space="0" w:color="auto"/>
                    <w:bottom w:val="none" w:sz="0" w:space="0" w:color="auto"/>
                    <w:right w:val="none" w:sz="0" w:space="0" w:color="auto"/>
                  </w:divBdr>
                  <w:divsChild>
                    <w:div w:id="642196154">
                      <w:marLeft w:val="0"/>
                      <w:marRight w:val="0"/>
                      <w:marTop w:val="0"/>
                      <w:marBottom w:val="0"/>
                      <w:divBdr>
                        <w:top w:val="none" w:sz="0" w:space="0" w:color="auto"/>
                        <w:left w:val="none" w:sz="0" w:space="0" w:color="auto"/>
                        <w:bottom w:val="none" w:sz="0" w:space="0" w:color="auto"/>
                        <w:right w:val="none" w:sz="0" w:space="0" w:color="auto"/>
                      </w:divBdr>
                      <w:divsChild>
                        <w:div w:id="1200629040">
                          <w:marLeft w:val="0"/>
                          <w:marRight w:val="0"/>
                          <w:marTop w:val="0"/>
                          <w:marBottom w:val="0"/>
                          <w:divBdr>
                            <w:top w:val="none" w:sz="0" w:space="0" w:color="auto"/>
                            <w:left w:val="none" w:sz="0" w:space="0" w:color="auto"/>
                            <w:bottom w:val="none" w:sz="0" w:space="0" w:color="auto"/>
                            <w:right w:val="none" w:sz="0" w:space="0" w:color="auto"/>
                          </w:divBdr>
                          <w:divsChild>
                            <w:div w:id="753629498">
                              <w:marLeft w:val="0"/>
                              <w:marRight w:val="0"/>
                              <w:marTop w:val="0"/>
                              <w:marBottom w:val="0"/>
                              <w:divBdr>
                                <w:top w:val="none" w:sz="0" w:space="0" w:color="auto"/>
                                <w:left w:val="none" w:sz="0" w:space="0" w:color="auto"/>
                                <w:bottom w:val="none" w:sz="0" w:space="0" w:color="auto"/>
                                <w:right w:val="none" w:sz="0" w:space="0" w:color="auto"/>
                              </w:divBdr>
                              <w:divsChild>
                                <w:div w:id="415517759">
                                  <w:marLeft w:val="0"/>
                                  <w:marRight w:val="0"/>
                                  <w:marTop w:val="0"/>
                                  <w:marBottom w:val="0"/>
                                  <w:divBdr>
                                    <w:top w:val="none" w:sz="0" w:space="0" w:color="auto"/>
                                    <w:left w:val="none" w:sz="0" w:space="0" w:color="auto"/>
                                    <w:bottom w:val="none" w:sz="0" w:space="0" w:color="auto"/>
                                    <w:right w:val="none" w:sz="0" w:space="0" w:color="auto"/>
                                  </w:divBdr>
                                  <w:divsChild>
                                    <w:div w:id="10839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183362">
      <w:bodyDiv w:val="1"/>
      <w:marLeft w:val="0"/>
      <w:marRight w:val="0"/>
      <w:marTop w:val="0"/>
      <w:marBottom w:val="0"/>
      <w:divBdr>
        <w:top w:val="none" w:sz="0" w:space="0" w:color="auto"/>
        <w:left w:val="none" w:sz="0" w:space="0" w:color="auto"/>
        <w:bottom w:val="none" w:sz="0" w:space="0" w:color="auto"/>
        <w:right w:val="none" w:sz="0" w:space="0" w:color="auto"/>
      </w:divBdr>
    </w:div>
    <w:div w:id="1608658878">
      <w:bodyDiv w:val="1"/>
      <w:marLeft w:val="0"/>
      <w:marRight w:val="0"/>
      <w:marTop w:val="0"/>
      <w:marBottom w:val="0"/>
      <w:divBdr>
        <w:top w:val="none" w:sz="0" w:space="0" w:color="auto"/>
        <w:left w:val="none" w:sz="0" w:space="0" w:color="auto"/>
        <w:bottom w:val="none" w:sz="0" w:space="0" w:color="auto"/>
        <w:right w:val="none" w:sz="0" w:space="0" w:color="auto"/>
      </w:divBdr>
    </w:div>
    <w:div w:id="1681882792">
      <w:bodyDiv w:val="1"/>
      <w:marLeft w:val="0"/>
      <w:marRight w:val="0"/>
      <w:marTop w:val="0"/>
      <w:marBottom w:val="0"/>
      <w:divBdr>
        <w:top w:val="none" w:sz="0" w:space="0" w:color="auto"/>
        <w:left w:val="none" w:sz="0" w:space="0" w:color="auto"/>
        <w:bottom w:val="none" w:sz="0" w:space="0" w:color="auto"/>
        <w:right w:val="none" w:sz="0" w:space="0" w:color="auto"/>
      </w:divBdr>
    </w:div>
    <w:div w:id="1739670954">
      <w:bodyDiv w:val="1"/>
      <w:marLeft w:val="0"/>
      <w:marRight w:val="0"/>
      <w:marTop w:val="0"/>
      <w:marBottom w:val="0"/>
      <w:divBdr>
        <w:top w:val="none" w:sz="0" w:space="0" w:color="auto"/>
        <w:left w:val="none" w:sz="0" w:space="0" w:color="auto"/>
        <w:bottom w:val="none" w:sz="0" w:space="0" w:color="auto"/>
        <w:right w:val="none" w:sz="0" w:space="0" w:color="auto"/>
      </w:divBdr>
    </w:div>
    <w:div w:id="1801417848">
      <w:bodyDiv w:val="1"/>
      <w:marLeft w:val="0"/>
      <w:marRight w:val="0"/>
      <w:marTop w:val="0"/>
      <w:marBottom w:val="0"/>
      <w:divBdr>
        <w:top w:val="none" w:sz="0" w:space="0" w:color="auto"/>
        <w:left w:val="none" w:sz="0" w:space="0" w:color="auto"/>
        <w:bottom w:val="none" w:sz="0" w:space="0" w:color="auto"/>
        <w:right w:val="none" w:sz="0" w:space="0" w:color="auto"/>
      </w:divBdr>
    </w:div>
    <w:div w:id="1945383880">
      <w:bodyDiv w:val="1"/>
      <w:marLeft w:val="0"/>
      <w:marRight w:val="0"/>
      <w:marTop w:val="0"/>
      <w:marBottom w:val="0"/>
      <w:divBdr>
        <w:top w:val="none" w:sz="0" w:space="0" w:color="auto"/>
        <w:left w:val="none" w:sz="0" w:space="0" w:color="auto"/>
        <w:bottom w:val="none" w:sz="0" w:space="0" w:color="auto"/>
        <w:right w:val="none" w:sz="0" w:space="0" w:color="auto"/>
      </w:divBdr>
    </w:div>
    <w:div w:id="2067218459">
      <w:bodyDiv w:val="1"/>
      <w:marLeft w:val="0"/>
      <w:marRight w:val="0"/>
      <w:marTop w:val="0"/>
      <w:marBottom w:val="0"/>
      <w:divBdr>
        <w:top w:val="none" w:sz="0" w:space="0" w:color="auto"/>
        <w:left w:val="none" w:sz="0" w:space="0" w:color="auto"/>
        <w:bottom w:val="none" w:sz="0" w:space="0" w:color="auto"/>
        <w:right w:val="none" w:sz="0" w:space="0" w:color="auto"/>
      </w:divBdr>
    </w:div>
    <w:div w:id="2096704609">
      <w:bodyDiv w:val="1"/>
      <w:marLeft w:val="0"/>
      <w:marRight w:val="0"/>
      <w:marTop w:val="0"/>
      <w:marBottom w:val="0"/>
      <w:divBdr>
        <w:top w:val="none" w:sz="0" w:space="0" w:color="auto"/>
        <w:left w:val="none" w:sz="0" w:space="0" w:color="auto"/>
        <w:bottom w:val="none" w:sz="0" w:space="0" w:color="auto"/>
        <w:right w:val="none" w:sz="0" w:space="0" w:color="auto"/>
      </w:divBdr>
    </w:div>
    <w:div w:id="21117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bls.gov/regions/southwest/tx_waco_msa.htm" TargetMode="External"/><Relationship Id="rId26" Type="http://schemas.openxmlformats.org/officeDocument/2006/relationships/hyperlink" Target="https://www.bls.gov/regions/southwest/tx_waco_msa.htm" TargetMode="External"/><Relationship Id="rId39" Type="http://schemas.openxmlformats.org/officeDocument/2006/relationships/hyperlink" Target="https://www.bls.gov/regions/southwest/tx_waco_msa.htm" TargetMode="External"/><Relationship Id="rId21" Type="http://schemas.openxmlformats.org/officeDocument/2006/relationships/hyperlink" Target="https://www.bls.gov/regions/southwest/tx_waco_msa.htm" TargetMode="External"/><Relationship Id="rId34" Type="http://schemas.openxmlformats.org/officeDocument/2006/relationships/hyperlink" Target="https://www.bls.gov/regions/southwest/tx_waco_msa.htm" TargetMode="External"/><Relationship Id="rId42" Type="http://schemas.openxmlformats.org/officeDocument/2006/relationships/hyperlink" Target="https://www.bls.gov/regions/southwest/tx_waco_msa.htm" TargetMode="External"/><Relationship Id="rId47" Type="http://schemas.openxmlformats.org/officeDocument/2006/relationships/hyperlink" Target="https://www.bls.gov/regions/southwest/tx_waco_msa.htm" TargetMode="External"/><Relationship Id="rId50" Type="http://schemas.openxmlformats.org/officeDocument/2006/relationships/chart" Target="charts/chart3.xml"/><Relationship Id="rId55"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bls.gov/regions/southwest/tx_waco_msa.htm" TargetMode="External"/><Relationship Id="rId25" Type="http://schemas.openxmlformats.org/officeDocument/2006/relationships/hyperlink" Target="https://www.bls.gov/regions/southwest/tx_waco_msa.htm" TargetMode="External"/><Relationship Id="rId33" Type="http://schemas.openxmlformats.org/officeDocument/2006/relationships/hyperlink" Target="https://www.bls.gov/regions/southwest/tx_waco_msa.htm" TargetMode="External"/><Relationship Id="rId38" Type="http://schemas.openxmlformats.org/officeDocument/2006/relationships/hyperlink" Target="https://www.bls.gov/regions/southwest/tx_waco_msa.htm" TargetMode="External"/><Relationship Id="rId46" Type="http://schemas.openxmlformats.org/officeDocument/2006/relationships/hyperlink" Target="https://www.bls.gov/regions/southwest/tx_waco_msa.htm"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ls.gov/regions/southwest/tx_waco_msa.htm" TargetMode="External"/><Relationship Id="rId20" Type="http://schemas.openxmlformats.org/officeDocument/2006/relationships/hyperlink" Target="https://www.bls.gov/regions/southwest/tx_waco_msa.htm" TargetMode="External"/><Relationship Id="rId29" Type="http://schemas.openxmlformats.org/officeDocument/2006/relationships/hyperlink" Target="https://www.bls.gov/regions/southwest/tx_waco_msa.htm" TargetMode="External"/><Relationship Id="rId41" Type="http://schemas.openxmlformats.org/officeDocument/2006/relationships/hyperlink" Target="https://www.bls.gov/regions/southwest/tx_waco_msa.htm" TargetMode="External"/><Relationship Id="rId54"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bls.gov/regions/southwest/tx_waco_msa.htm" TargetMode="External"/><Relationship Id="rId32" Type="http://schemas.openxmlformats.org/officeDocument/2006/relationships/hyperlink" Target="https://www.bls.gov/regions/southwest/tx_waco_msa.htm" TargetMode="External"/><Relationship Id="rId37" Type="http://schemas.openxmlformats.org/officeDocument/2006/relationships/hyperlink" Target="https://www.bls.gov/regions/southwest/tx_waco_msa.htm" TargetMode="External"/><Relationship Id="rId40" Type="http://schemas.openxmlformats.org/officeDocument/2006/relationships/hyperlink" Target="https://www.bls.gov/regions/southwest/tx_waco_msa.htm" TargetMode="External"/><Relationship Id="rId45" Type="http://schemas.openxmlformats.org/officeDocument/2006/relationships/hyperlink" Target="https://www.bls.gov/regions/southwest/tx_waco_msa.htm" TargetMode="External"/><Relationship Id="rId53" Type="http://schemas.openxmlformats.org/officeDocument/2006/relationships/chart" Target="charts/chart6.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s://www.bls.gov/regions/southwest/tx_waco_msa.htm" TargetMode="External"/><Relationship Id="rId28" Type="http://schemas.openxmlformats.org/officeDocument/2006/relationships/hyperlink" Target="https://www.bls.gov/regions/southwest/tx_waco_msa.htm" TargetMode="External"/><Relationship Id="rId36" Type="http://schemas.openxmlformats.org/officeDocument/2006/relationships/hyperlink" Target="https://www.bls.gov/regions/southwest/tx_waco_msa.htm" TargetMode="External"/><Relationship Id="rId49" Type="http://schemas.openxmlformats.org/officeDocument/2006/relationships/hyperlink" Target="https://en.wikipedia.org/wiki/Workforce_development" TargetMode="External"/><Relationship Id="rId57" Type="http://schemas.openxmlformats.org/officeDocument/2006/relationships/chart" Target="charts/chart10.xml"/><Relationship Id="rId10" Type="http://schemas.openxmlformats.org/officeDocument/2006/relationships/footer" Target="footer1.xml"/><Relationship Id="rId19" Type="http://schemas.openxmlformats.org/officeDocument/2006/relationships/hyperlink" Target="https://www.bls.gov/regions/southwest/tx_waco_msa.htm" TargetMode="External"/><Relationship Id="rId31" Type="http://schemas.openxmlformats.org/officeDocument/2006/relationships/hyperlink" Target="https://www.bls.gov/regions/southwest/tx_waco_msa.htm" TargetMode="External"/><Relationship Id="rId44" Type="http://schemas.openxmlformats.org/officeDocument/2006/relationships/hyperlink" Target="https://www.bls.gov/regions/southwest/tx_waco_msa.htm" TargetMode="External"/><Relationship Id="rId52"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hyperlink" Target="https://www.bls.gov/regions/southwest/tx_waco_msa.htm" TargetMode="External"/><Relationship Id="rId27" Type="http://schemas.openxmlformats.org/officeDocument/2006/relationships/hyperlink" Target="https://www.bls.gov/regions/southwest/tx_waco_msa.htm" TargetMode="External"/><Relationship Id="rId30" Type="http://schemas.openxmlformats.org/officeDocument/2006/relationships/hyperlink" Target="https://www.bls.gov/regions/southwest/tx_waco_msa.htm" TargetMode="External"/><Relationship Id="rId35" Type="http://schemas.openxmlformats.org/officeDocument/2006/relationships/hyperlink" Target="https://www.bls.gov/regions/southwest/tx_waco_msa.htm" TargetMode="External"/><Relationship Id="rId43" Type="http://schemas.openxmlformats.org/officeDocument/2006/relationships/hyperlink" Target="https://www.bls.gov/regions/southwest/tx_waco_msa.htm" TargetMode="External"/><Relationship Id="rId48" Type="http://schemas.openxmlformats.org/officeDocument/2006/relationships/hyperlink" Target="https://www.bls.gov/regions/southwest/tx_waco_msa.htm" TargetMode="External"/><Relationship Id="rId56" Type="http://schemas.openxmlformats.org/officeDocument/2006/relationships/chart" Target="charts/chart9.xml"/><Relationship Id="rId8" Type="http://schemas.openxmlformats.org/officeDocument/2006/relationships/header" Target="header1.xml"/><Relationship Id="rId51" Type="http://schemas.openxmlformats.org/officeDocument/2006/relationships/chart" Target="charts/chart4.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tom_kelly\Downloads\SeriesReport-20171120112114_44fad6.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tom_kelly\AppData\Local\Temp\Temp1_dataPermit_full%20(12).zip\dataPermit_full.csv"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tom_kelly\Downloads\DA201799.csv"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tom_kelly\Downloads\DA201799.csv"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tom_kelly\Downloads\SeriesReport-20171023131454_13bd6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tom_kelly\Downloads\SeriesReport-20171101162543_2b9f5b.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tom_kelly\Downloads\SeriesReport-20171106145842_c02796.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479306466002097E-2"/>
          <c:y val="6.3800817467476012E-2"/>
          <c:w val="0.91243749703700827"/>
          <c:h val="0.77937024125854226"/>
        </c:manualLayout>
      </c:layout>
      <c:barChart>
        <c:barDir val="col"/>
        <c:grouping val="clustered"/>
        <c:varyColors val="0"/>
        <c:ser>
          <c:idx val="0"/>
          <c:order val="0"/>
          <c:tx>
            <c:strRef>
              <c:f>'[SeriesReport-20171120112114_44fad6.xlsx]BLS Data Series'!$A$14</c:f>
              <c:strCache>
                <c:ptCount val="1"/>
                <c:pt idx="0">
                  <c:v>2014</c:v>
                </c:pt>
              </c:strCache>
            </c:strRef>
          </c:tx>
          <c:spPr>
            <a:solidFill>
              <a:schemeClr val="accent1"/>
            </a:solidFill>
            <a:ln>
              <a:solidFill>
                <a:sysClr val="windowText" lastClr="000000"/>
              </a:solidFill>
            </a:ln>
            <a:effectLst/>
          </c:spPr>
          <c:invertIfNegative val="0"/>
          <c:cat>
            <c:strRef>
              <c:f>'[SeriesReport-20171120112114_44fad6.xlsx]BLS Data Series'!$B$13:$M$13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'[SeriesReport-20171120112114_44fad6.xlsx]BLS Data Series'!$B$14:$M$14</c:f>
              <c:numCache>
                <c:formatCode>#0.0</c:formatCode>
                <c:ptCount val="12"/>
                <c:pt idx="0">
                  <c:v>1.7</c:v>
                </c:pt>
                <c:pt idx="1">
                  <c:v>1</c:v>
                </c:pt>
                <c:pt idx="2">
                  <c:v>1.1000000000000001</c:v>
                </c:pt>
                <c:pt idx="3">
                  <c:v>1.8</c:v>
                </c:pt>
                <c:pt idx="4">
                  <c:v>1.9</c:v>
                </c:pt>
                <c:pt idx="5">
                  <c:v>1.3</c:v>
                </c:pt>
                <c:pt idx="6">
                  <c:v>1.3</c:v>
                </c:pt>
                <c:pt idx="7">
                  <c:v>1.3</c:v>
                </c:pt>
                <c:pt idx="8">
                  <c:v>1.3</c:v>
                </c:pt>
                <c:pt idx="9">
                  <c:v>3.1</c:v>
                </c:pt>
                <c:pt idx="10">
                  <c:v>3.1</c:v>
                </c:pt>
                <c:pt idx="11">
                  <c:v>3.8</c:v>
                </c:pt>
              </c:numCache>
            </c:numRef>
          </c:val>
          <c:extLst>
            <c:ext xmlns:c16="http://schemas.microsoft.com/office/drawing/2014/chart" uri="{C3380CC4-5D6E-409C-BE32-E72D297353CC}">
              <c16:uniqueId val="{00000000-7C6F-4C1E-A114-ED4277B50DF4}"/>
            </c:ext>
          </c:extLst>
        </c:ser>
        <c:ser>
          <c:idx val="1"/>
          <c:order val="1"/>
          <c:tx>
            <c:strRef>
              <c:f>'[SeriesReport-20171120112114_44fad6.xlsx]BLS Data Series'!$A$15</c:f>
              <c:strCache>
                <c:ptCount val="1"/>
                <c:pt idx="0">
                  <c:v>2015</c:v>
                </c:pt>
              </c:strCache>
            </c:strRef>
          </c:tx>
          <c:spPr>
            <a:solidFill>
              <a:srgbClr val="00B050"/>
            </a:solidFill>
            <a:ln>
              <a:solidFill>
                <a:sysClr val="windowText" lastClr="000000"/>
              </a:solidFill>
            </a:ln>
            <a:effectLst/>
          </c:spPr>
          <c:invertIfNegative val="0"/>
          <c:cat>
            <c:strRef>
              <c:f>'[SeriesReport-20171120112114_44fad6.xlsx]BLS Data Series'!$B$13:$M$13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'[SeriesReport-20171120112114_44fad6.xlsx]BLS Data Series'!$B$15:$M$15</c:f>
              <c:numCache>
                <c:formatCode>#0.0</c:formatCode>
                <c:ptCount val="12"/>
                <c:pt idx="0">
                  <c:v>3.6</c:v>
                </c:pt>
                <c:pt idx="1">
                  <c:v>2.9</c:v>
                </c:pt>
                <c:pt idx="2">
                  <c:v>2.2999999999999998</c:v>
                </c:pt>
                <c:pt idx="3">
                  <c:v>0.8</c:v>
                </c:pt>
                <c:pt idx="4">
                  <c:v>1.4</c:v>
                </c:pt>
                <c:pt idx="5">
                  <c:v>2</c:v>
                </c:pt>
                <c:pt idx="6">
                  <c:v>3.1</c:v>
                </c:pt>
                <c:pt idx="7">
                  <c:v>3.3</c:v>
                </c:pt>
                <c:pt idx="8">
                  <c:v>2.9</c:v>
                </c:pt>
                <c:pt idx="9">
                  <c:v>3.2</c:v>
                </c:pt>
                <c:pt idx="10">
                  <c:v>2.7</c:v>
                </c:pt>
                <c:pt idx="11">
                  <c:v>2.4</c:v>
                </c:pt>
              </c:numCache>
            </c:numRef>
          </c:val>
          <c:extLst>
            <c:ext xmlns:c16="http://schemas.microsoft.com/office/drawing/2014/chart" uri="{C3380CC4-5D6E-409C-BE32-E72D297353CC}">
              <c16:uniqueId val="{00000001-7C6F-4C1E-A114-ED4277B50DF4}"/>
            </c:ext>
          </c:extLst>
        </c:ser>
        <c:ser>
          <c:idx val="2"/>
          <c:order val="2"/>
          <c:tx>
            <c:strRef>
              <c:f>'[SeriesReport-20171120112114_44fad6.xlsx]BLS Data Series'!$A$16</c:f>
              <c:strCache>
                <c:ptCount val="1"/>
                <c:pt idx="0">
                  <c:v>2016</c:v>
                </c:pt>
              </c:strCache>
            </c:strRef>
          </c:tx>
          <c:spPr>
            <a:solidFill>
              <a:srgbClr val="C00000"/>
            </a:solidFill>
            <a:ln>
              <a:solidFill>
                <a:schemeClr val="tx1"/>
              </a:solidFill>
            </a:ln>
            <a:effectLst/>
          </c:spPr>
          <c:invertIfNegative val="0"/>
          <c:cat>
            <c:strRef>
              <c:f>'[SeriesReport-20171120112114_44fad6.xlsx]BLS Data Series'!$B$13:$M$13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'[SeriesReport-20171120112114_44fad6.xlsx]BLS Data Series'!$B$16:$M$16</c:f>
              <c:numCache>
                <c:formatCode>#0.0</c:formatCode>
                <c:ptCount val="12"/>
                <c:pt idx="0">
                  <c:v>2.4</c:v>
                </c:pt>
                <c:pt idx="1">
                  <c:v>3.2</c:v>
                </c:pt>
                <c:pt idx="2">
                  <c:v>3.4</c:v>
                </c:pt>
                <c:pt idx="3">
                  <c:v>3.7</c:v>
                </c:pt>
                <c:pt idx="4">
                  <c:v>3.4</c:v>
                </c:pt>
                <c:pt idx="5">
                  <c:v>3.1</c:v>
                </c:pt>
                <c:pt idx="6">
                  <c:v>2.5</c:v>
                </c:pt>
                <c:pt idx="7">
                  <c:v>2.8</c:v>
                </c:pt>
                <c:pt idx="8">
                  <c:v>2.7</c:v>
                </c:pt>
                <c:pt idx="9">
                  <c:v>1.7</c:v>
                </c:pt>
                <c:pt idx="10">
                  <c:v>2</c:v>
                </c:pt>
                <c:pt idx="11">
                  <c:v>2</c:v>
                </c:pt>
              </c:numCache>
            </c:numRef>
          </c:val>
          <c:extLst>
            <c:ext xmlns:c16="http://schemas.microsoft.com/office/drawing/2014/chart" uri="{C3380CC4-5D6E-409C-BE32-E72D297353CC}">
              <c16:uniqueId val="{00000002-7C6F-4C1E-A114-ED4277B50DF4}"/>
            </c:ext>
          </c:extLst>
        </c:ser>
        <c:ser>
          <c:idx val="3"/>
          <c:order val="3"/>
          <c:tx>
            <c:strRef>
              <c:f>'[SeriesReport-20171120112114_44fad6.xlsx]BLS Data Series'!$A$17</c:f>
              <c:strCache>
                <c:ptCount val="1"/>
                <c:pt idx="0">
                  <c:v>2017</c:v>
                </c:pt>
              </c:strCache>
            </c:strRef>
          </c:tx>
          <c:spPr>
            <a:solidFill>
              <a:schemeClr val="tx1"/>
            </a:solidFill>
            <a:ln>
              <a:solidFill>
                <a:schemeClr val="tx1"/>
              </a:solidFill>
            </a:ln>
            <a:effectLst/>
          </c:spPr>
          <c:invertIfNegative val="0"/>
          <c:cat>
            <c:strRef>
              <c:f>'[SeriesReport-20171120112114_44fad6.xlsx]BLS Data Series'!$B$13:$M$13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'[SeriesReport-20171120112114_44fad6.xlsx]BLS Data Series'!$B$17:$M$17</c:f>
              <c:numCache>
                <c:formatCode>#0.0</c:formatCode>
                <c:ptCount val="12"/>
                <c:pt idx="0">
                  <c:v>1.9</c:v>
                </c:pt>
                <c:pt idx="1">
                  <c:v>2.2000000000000002</c:v>
                </c:pt>
                <c:pt idx="2">
                  <c:v>1.9</c:v>
                </c:pt>
                <c:pt idx="3">
                  <c:v>1.5</c:v>
                </c:pt>
                <c:pt idx="4">
                  <c:v>0.9</c:v>
                </c:pt>
                <c:pt idx="5">
                  <c:v>0.1</c:v>
                </c:pt>
                <c:pt idx="6">
                  <c:v>0.3</c:v>
                </c:pt>
                <c:pt idx="7">
                  <c:v>-0.3</c:v>
                </c:pt>
                <c:pt idx="8">
                  <c:v>-0.6</c:v>
                </c:pt>
                <c:pt idx="9">
                  <c:v>-0.4</c:v>
                </c:pt>
              </c:numCache>
            </c:numRef>
          </c:val>
          <c:extLst>
            <c:ext xmlns:c16="http://schemas.microsoft.com/office/drawing/2014/chart" uri="{C3380CC4-5D6E-409C-BE32-E72D297353CC}">
              <c16:uniqueId val="{00000003-7C6F-4C1E-A114-ED4277B50DF4}"/>
            </c:ext>
          </c:extLst>
        </c:ser>
        <c:dLbls>
          <c:showLegendKey val="0"/>
          <c:showVal val="0"/>
          <c:showCatName val="0"/>
          <c:showSerName val="0"/>
          <c:showPercent val="0"/>
          <c:showBubbleSize val="0"/>
        </c:dLbls>
        <c:gapWidth val="150"/>
        <c:axId val="280374240"/>
        <c:axId val="280373912"/>
      </c:barChart>
      <c:catAx>
        <c:axId val="280374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80373912"/>
        <c:crosses val="autoZero"/>
        <c:auto val="1"/>
        <c:lblAlgn val="ctr"/>
        <c:lblOffset val="100"/>
        <c:noMultiLvlLbl val="0"/>
      </c:catAx>
      <c:valAx>
        <c:axId val="2803739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80374240"/>
        <c:crosses val="autoZero"/>
        <c:crossBetween val="between"/>
      </c:valAx>
      <c:spPr>
        <a:solidFill>
          <a:schemeClr val="bg1">
            <a:lumMod val="95000"/>
          </a:schemeClr>
        </a:solidFill>
        <a:ln>
          <a:noFill/>
        </a:ln>
        <a:effectLst/>
      </c:spPr>
    </c:plotArea>
    <c:legend>
      <c:legendPos val="b"/>
      <c:layout>
        <c:manualLayout>
          <c:xMode val="edge"/>
          <c:yMode val="edge"/>
          <c:x val="0.24930780204198613"/>
          <c:y val="0.87525204803944956"/>
          <c:w val="0.40505160992806932"/>
          <c:h val="6.8182295394893816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b="1"/>
              <a:t>Figure 10</a:t>
            </a:r>
            <a:r>
              <a:rPr lang="en-US" sz="1200" b="1" baseline="0"/>
              <a:t> </a:t>
            </a:r>
          </a:p>
          <a:p>
            <a:pPr>
              <a:defRPr sz="1200" b="1"/>
            </a:pPr>
            <a:r>
              <a:rPr lang="en-US" sz="1200" b="1"/>
              <a:t>Waco MSA Single Family Building Permits</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dataPermit_full!$C$14</c:f>
              <c:strCache>
                <c:ptCount val="1"/>
                <c:pt idx="0">
                  <c:v>Current Month</c:v>
                </c:pt>
              </c:strCache>
            </c:strRef>
          </c:tx>
          <c:spPr>
            <a:ln w="28575" cap="rnd">
              <a:solidFill>
                <a:sysClr val="windowText" lastClr="000000"/>
              </a:solidFill>
              <a:round/>
            </a:ln>
            <a:effectLst/>
          </c:spPr>
          <c:marker>
            <c:symbol val="none"/>
          </c:marker>
          <c:cat>
            <c:numRef>
              <c:f>dataPermit_full!$B$15:$B$35</c:f>
              <c:numCache>
                <c:formatCode>mmm\-yy</c:formatCode>
                <c:ptCount val="21"/>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pt idx="15">
                  <c:v>42826</c:v>
                </c:pt>
                <c:pt idx="16">
                  <c:v>42856</c:v>
                </c:pt>
                <c:pt idx="17">
                  <c:v>42887</c:v>
                </c:pt>
                <c:pt idx="18">
                  <c:v>42917</c:v>
                </c:pt>
                <c:pt idx="19">
                  <c:v>42948</c:v>
                </c:pt>
                <c:pt idx="20">
                  <c:v>42979</c:v>
                </c:pt>
              </c:numCache>
            </c:numRef>
          </c:cat>
          <c:val>
            <c:numRef>
              <c:f>dataPermit_full!$C$15:$C$35</c:f>
              <c:numCache>
                <c:formatCode>General</c:formatCode>
                <c:ptCount val="21"/>
                <c:pt idx="0">
                  <c:v>14</c:v>
                </c:pt>
                <c:pt idx="1">
                  <c:v>35</c:v>
                </c:pt>
                <c:pt idx="2">
                  <c:v>39</c:v>
                </c:pt>
                <c:pt idx="3">
                  <c:v>35</c:v>
                </c:pt>
                <c:pt idx="4">
                  <c:v>22</c:v>
                </c:pt>
                <c:pt idx="5">
                  <c:v>41</c:v>
                </c:pt>
                <c:pt idx="6">
                  <c:v>47</c:v>
                </c:pt>
                <c:pt idx="7">
                  <c:v>47</c:v>
                </c:pt>
                <c:pt idx="8">
                  <c:v>35</c:v>
                </c:pt>
                <c:pt idx="9">
                  <c:v>24</c:v>
                </c:pt>
                <c:pt idx="10">
                  <c:v>26</c:v>
                </c:pt>
                <c:pt idx="11">
                  <c:v>43</c:v>
                </c:pt>
                <c:pt idx="12">
                  <c:v>33</c:v>
                </c:pt>
                <c:pt idx="13">
                  <c:v>62</c:v>
                </c:pt>
                <c:pt idx="14">
                  <c:v>56</c:v>
                </c:pt>
                <c:pt idx="15">
                  <c:v>48</c:v>
                </c:pt>
                <c:pt idx="16">
                  <c:v>38</c:v>
                </c:pt>
                <c:pt idx="17">
                  <c:v>26</c:v>
                </c:pt>
                <c:pt idx="18">
                  <c:v>26</c:v>
                </c:pt>
                <c:pt idx="19">
                  <c:v>52</c:v>
                </c:pt>
                <c:pt idx="20">
                  <c:v>34</c:v>
                </c:pt>
              </c:numCache>
            </c:numRef>
          </c:val>
          <c:smooth val="0"/>
          <c:extLst>
            <c:ext xmlns:c16="http://schemas.microsoft.com/office/drawing/2014/chart" uri="{C3380CC4-5D6E-409C-BE32-E72D297353CC}">
              <c16:uniqueId val="{00000000-4FD6-460D-BC98-659AE8E7234A}"/>
            </c:ext>
          </c:extLst>
        </c:ser>
        <c:ser>
          <c:idx val="1"/>
          <c:order val="1"/>
          <c:tx>
            <c:strRef>
              <c:f>dataPermit_full!$D$14</c:f>
              <c:strCache>
                <c:ptCount val="1"/>
                <c:pt idx="0">
                  <c:v>12-mo. Mov. Avg.</c:v>
                </c:pt>
              </c:strCache>
            </c:strRef>
          </c:tx>
          <c:spPr>
            <a:ln w="28575" cap="rnd">
              <a:solidFill>
                <a:srgbClr val="C00000"/>
              </a:solidFill>
              <a:round/>
            </a:ln>
            <a:effectLst/>
          </c:spPr>
          <c:marker>
            <c:symbol val="none"/>
          </c:marker>
          <c:cat>
            <c:numRef>
              <c:f>dataPermit_full!$B$15:$B$35</c:f>
              <c:numCache>
                <c:formatCode>mmm\-yy</c:formatCode>
                <c:ptCount val="21"/>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pt idx="15">
                  <c:v>42826</c:v>
                </c:pt>
                <c:pt idx="16">
                  <c:v>42856</c:v>
                </c:pt>
                <c:pt idx="17">
                  <c:v>42887</c:v>
                </c:pt>
                <c:pt idx="18">
                  <c:v>42917</c:v>
                </c:pt>
                <c:pt idx="19">
                  <c:v>42948</c:v>
                </c:pt>
                <c:pt idx="20">
                  <c:v>42979</c:v>
                </c:pt>
              </c:numCache>
            </c:numRef>
          </c:cat>
          <c:val>
            <c:numRef>
              <c:f>dataPermit_full!$D$15:$D$35</c:f>
              <c:numCache>
                <c:formatCode>0.0</c:formatCode>
                <c:ptCount val="21"/>
                <c:pt idx="0">
                  <c:v>29.416666666666668</c:v>
                </c:pt>
                <c:pt idx="1">
                  <c:v>29.666666666666668</c:v>
                </c:pt>
                <c:pt idx="2">
                  <c:v>29.416666666666668</c:v>
                </c:pt>
                <c:pt idx="3">
                  <c:v>28.583333333333332</c:v>
                </c:pt>
                <c:pt idx="4">
                  <c:v>28</c:v>
                </c:pt>
                <c:pt idx="5">
                  <c:v>28.416666666666668</c:v>
                </c:pt>
                <c:pt idx="6">
                  <c:v>30.833333333333332</c:v>
                </c:pt>
                <c:pt idx="7">
                  <c:v>33.416666666666664</c:v>
                </c:pt>
                <c:pt idx="8">
                  <c:v>34.083333333333336</c:v>
                </c:pt>
                <c:pt idx="9">
                  <c:v>34.083333333333336</c:v>
                </c:pt>
                <c:pt idx="10">
                  <c:v>32.916666666666664</c:v>
                </c:pt>
                <c:pt idx="11">
                  <c:v>34</c:v>
                </c:pt>
                <c:pt idx="12">
                  <c:v>35.583333333333336</c:v>
                </c:pt>
                <c:pt idx="13">
                  <c:v>37.833333333333336</c:v>
                </c:pt>
                <c:pt idx="14">
                  <c:v>39.25</c:v>
                </c:pt>
                <c:pt idx="15">
                  <c:v>40.333333333333336</c:v>
                </c:pt>
                <c:pt idx="16">
                  <c:v>41.666666666666664</c:v>
                </c:pt>
                <c:pt idx="17">
                  <c:v>40.416666666666664</c:v>
                </c:pt>
                <c:pt idx="18">
                  <c:v>38.666666666666664</c:v>
                </c:pt>
                <c:pt idx="19">
                  <c:v>39.083333333333336</c:v>
                </c:pt>
                <c:pt idx="20">
                  <c:v>39</c:v>
                </c:pt>
              </c:numCache>
            </c:numRef>
          </c:val>
          <c:smooth val="0"/>
          <c:extLst>
            <c:ext xmlns:c16="http://schemas.microsoft.com/office/drawing/2014/chart" uri="{C3380CC4-5D6E-409C-BE32-E72D297353CC}">
              <c16:uniqueId val="{00000001-4FD6-460D-BC98-659AE8E7234A}"/>
            </c:ext>
          </c:extLst>
        </c:ser>
        <c:dLbls>
          <c:showLegendKey val="0"/>
          <c:showVal val="0"/>
          <c:showCatName val="0"/>
          <c:showSerName val="0"/>
          <c:showPercent val="0"/>
          <c:showBubbleSize val="0"/>
        </c:dLbls>
        <c:smooth val="0"/>
        <c:axId val="340727264"/>
        <c:axId val="340726936"/>
      </c:lineChart>
      <c:dateAx>
        <c:axId val="340727264"/>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0726936"/>
        <c:crosses val="autoZero"/>
        <c:auto val="1"/>
        <c:lblOffset val="100"/>
        <c:baseTimeUnit val="months"/>
      </c:dateAx>
      <c:valAx>
        <c:axId val="340726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0727264"/>
        <c:crosses val="autoZero"/>
        <c:crossBetween val="between"/>
      </c:valAx>
      <c:spPr>
        <a:solidFill>
          <a:schemeClr val="bg1">
            <a:lumMod val="95000"/>
          </a:schemeClr>
        </a:solid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b="1"/>
              <a:t>Figure 2</a:t>
            </a:r>
          </a:p>
          <a:p>
            <a:pPr>
              <a:defRPr sz="1200" b="1"/>
            </a:pPr>
            <a:r>
              <a:rPr lang="en-US" sz="1200" b="1"/>
              <a:t>Waco MSA Average Personal Income per Capita as Percent of U.S.</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046623138509926E-2"/>
          <c:y val="0.26309711286089238"/>
          <c:w val="0.91386881294527866"/>
          <c:h val="0.53791167408421769"/>
        </c:manualLayout>
      </c:layout>
      <c:lineChart>
        <c:grouping val="standard"/>
        <c:varyColors val="0"/>
        <c:ser>
          <c:idx val="0"/>
          <c:order val="0"/>
          <c:spPr>
            <a:ln w="28575" cap="rnd">
              <a:solidFill>
                <a:schemeClr val="tx1"/>
              </a:solidFill>
              <a:round/>
            </a:ln>
            <a:effectLst/>
          </c:spPr>
          <c:marker>
            <c:symbol val="none"/>
          </c:marker>
          <c:cat>
            <c:numRef>
              <c:f>Sheet1!$B$3:$B$13</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Sheet1!$C$3:$C$13</c:f>
              <c:numCache>
                <c:formatCode>General</c:formatCode>
                <c:ptCount val="11"/>
                <c:pt idx="0">
                  <c:v>75</c:v>
                </c:pt>
                <c:pt idx="1">
                  <c:v>73.2</c:v>
                </c:pt>
                <c:pt idx="2">
                  <c:v>73.2</c:v>
                </c:pt>
                <c:pt idx="3">
                  <c:v>73.8</c:v>
                </c:pt>
                <c:pt idx="4">
                  <c:v>76</c:v>
                </c:pt>
                <c:pt idx="5">
                  <c:v>77.099999999999994</c:v>
                </c:pt>
                <c:pt idx="6">
                  <c:v>75.900000000000006</c:v>
                </c:pt>
                <c:pt idx="7">
                  <c:v>75.599999999999994</c:v>
                </c:pt>
                <c:pt idx="8">
                  <c:v>76.2</c:v>
                </c:pt>
                <c:pt idx="9">
                  <c:v>76.3</c:v>
                </c:pt>
                <c:pt idx="10">
                  <c:v>76.8</c:v>
                </c:pt>
              </c:numCache>
            </c:numRef>
          </c:val>
          <c:smooth val="0"/>
          <c:extLst>
            <c:ext xmlns:c16="http://schemas.microsoft.com/office/drawing/2014/chart" uri="{C3380CC4-5D6E-409C-BE32-E72D297353CC}">
              <c16:uniqueId val="{00000000-7CB9-4DA0-AB68-385E141ED90B}"/>
            </c:ext>
          </c:extLst>
        </c:ser>
        <c:dLbls>
          <c:showLegendKey val="0"/>
          <c:showVal val="0"/>
          <c:showCatName val="0"/>
          <c:showSerName val="0"/>
          <c:showPercent val="0"/>
          <c:showBubbleSize val="0"/>
        </c:dLbls>
        <c:smooth val="0"/>
        <c:axId val="281091840"/>
        <c:axId val="281092168"/>
      </c:lineChart>
      <c:catAx>
        <c:axId val="281091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81092168"/>
        <c:crosses val="autoZero"/>
        <c:auto val="1"/>
        <c:lblAlgn val="ctr"/>
        <c:lblOffset val="100"/>
        <c:noMultiLvlLbl val="0"/>
      </c:catAx>
      <c:valAx>
        <c:axId val="281092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81091840"/>
        <c:crosses val="autoZero"/>
        <c:crossBetween val="between"/>
      </c:valAx>
      <c:spPr>
        <a:solidFill>
          <a:schemeClr val="bg1">
            <a:lumMod val="95000"/>
          </a:schemeClr>
        </a:solidFill>
        <a:ln>
          <a:solidFill>
            <a:schemeClr val="tx1"/>
          </a:solid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sz="11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b="1"/>
              <a:t>Figure 3</a:t>
            </a:r>
          </a:p>
          <a:p>
            <a:pPr>
              <a:defRPr sz="1200" b="1"/>
            </a:pPr>
            <a:r>
              <a:rPr lang="en-US" sz="1200" b="1"/>
              <a:t>Waco Metro Area Annual </a:t>
            </a:r>
            <a:r>
              <a:rPr lang="en-US" sz="1200" b="1" i="0" u="none" strike="noStrike" baseline="0">
                <a:effectLst/>
              </a:rPr>
              <a:t>Percent Change in </a:t>
            </a:r>
            <a:r>
              <a:rPr lang="en-US" sz="1200" b="1" baseline="0"/>
              <a:t> </a:t>
            </a:r>
          </a:p>
          <a:p>
            <a:pPr>
              <a:defRPr sz="1200" b="1"/>
            </a:pPr>
            <a:r>
              <a:rPr lang="en-US" sz="1200" b="1" baseline="0"/>
              <a:t>Quarterly Average Employment in </a:t>
            </a:r>
            <a:r>
              <a:rPr lang="en-US" sz="1200" b="1"/>
              <a:t>Manufacturing </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0679968898185369E-2"/>
          <c:y val="0.27994817103558256"/>
          <c:w val="0.90503739883696732"/>
          <c:h val="0.63427921193395143"/>
        </c:manualLayout>
      </c:layout>
      <c:barChart>
        <c:barDir val="col"/>
        <c:grouping val="clustered"/>
        <c:varyColors val="0"/>
        <c:ser>
          <c:idx val="0"/>
          <c:order val="0"/>
          <c:tx>
            <c:strRef>
              <c:f>'DA201799'!$J$6</c:f>
              <c:strCache>
                <c:ptCount val="1"/>
                <c:pt idx="0">
                  <c:v>% Chg Empl</c:v>
                </c:pt>
              </c:strCache>
            </c:strRef>
          </c:tx>
          <c:spPr>
            <a:solidFill>
              <a:schemeClr val="tx1"/>
            </a:solidFill>
            <a:ln>
              <a:solidFill>
                <a:schemeClr val="tx1"/>
              </a:solidFill>
            </a:ln>
            <a:effectLst/>
          </c:spPr>
          <c:invertIfNegative val="0"/>
          <c:cat>
            <c:strRef>
              <c:f>'DA201799'!$I$7:$I$51</c:f>
              <c:strCache>
                <c:ptCount val="45"/>
                <c:pt idx="0">
                  <c:v>2006</c:v>
                </c:pt>
                <c:pt idx="1">
                  <c:v> </c:v>
                </c:pt>
                <c:pt idx="2">
                  <c:v> </c:v>
                </c:pt>
                <c:pt idx="3">
                  <c:v> </c:v>
                </c:pt>
                <c:pt idx="4">
                  <c:v>2007</c:v>
                </c:pt>
                <c:pt idx="5">
                  <c:v>  </c:v>
                </c:pt>
                <c:pt idx="6">
                  <c:v> </c:v>
                </c:pt>
                <c:pt idx="7">
                  <c:v> </c:v>
                </c:pt>
                <c:pt idx="8">
                  <c:v>2008</c:v>
                </c:pt>
                <c:pt idx="9">
                  <c:v> </c:v>
                </c:pt>
                <c:pt idx="10">
                  <c:v> </c:v>
                </c:pt>
                <c:pt idx="11">
                  <c:v> </c:v>
                </c:pt>
                <c:pt idx="12">
                  <c:v>2009</c:v>
                </c:pt>
                <c:pt idx="13">
                  <c:v> </c:v>
                </c:pt>
                <c:pt idx="14">
                  <c:v> </c:v>
                </c:pt>
                <c:pt idx="15">
                  <c:v> </c:v>
                </c:pt>
                <c:pt idx="16">
                  <c:v>2010</c:v>
                </c:pt>
                <c:pt idx="17">
                  <c:v> </c:v>
                </c:pt>
                <c:pt idx="18">
                  <c:v> </c:v>
                </c:pt>
                <c:pt idx="19">
                  <c:v> </c:v>
                </c:pt>
                <c:pt idx="20">
                  <c:v>2011</c:v>
                </c:pt>
                <c:pt idx="21">
                  <c:v> </c:v>
                </c:pt>
                <c:pt idx="22">
                  <c:v> </c:v>
                </c:pt>
                <c:pt idx="23">
                  <c:v> </c:v>
                </c:pt>
                <c:pt idx="24">
                  <c:v>2012</c:v>
                </c:pt>
                <c:pt idx="25">
                  <c:v> </c:v>
                </c:pt>
                <c:pt idx="26">
                  <c:v> </c:v>
                </c:pt>
                <c:pt idx="27">
                  <c:v> </c:v>
                </c:pt>
                <c:pt idx="28">
                  <c:v>2013</c:v>
                </c:pt>
                <c:pt idx="29">
                  <c:v> </c:v>
                </c:pt>
                <c:pt idx="30">
                  <c:v> </c:v>
                </c:pt>
                <c:pt idx="31">
                  <c:v> </c:v>
                </c:pt>
                <c:pt idx="32">
                  <c:v>2014</c:v>
                </c:pt>
                <c:pt idx="33">
                  <c:v> </c:v>
                </c:pt>
                <c:pt idx="34">
                  <c:v> </c:v>
                </c:pt>
                <c:pt idx="35">
                  <c:v> </c:v>
                </c:pt>
                <c:pt idx="36">
                  <c:v>2015</c:v>
                </c:pt>
                <c:pt idx="37">
                  <c:v> </c:v>
                </c:pt>
                <c:pt idx="38">
                  <c:v> </c:v>
                </c:pt>
                <c:pt idx="39">
                  <c:v> </c:v>
                </c:pt>
                <c:pt idx="40">
                  <c:v>2016</c:v>
                </c:pt>
                <c:pt idx="41">
                  <c:v> </c:v>
                </c:pt>
                <c:pt idx="42">
                  <c:v> </c:v>
                </c:pt>
                <c:pt idx="43">
                  <c:v> </c:v>
                </c:pt>
                <c:pt idx="44">
                  <c:v>2017</c:v>
                </c:pt>
              </c:strCache>
            </c:strRef>
          </c:cat>
          <c:val>
            <c:numRef>
              <c:f>'DA201799'!$J$7:$J$51</c:f>
              <c:numCache>
                <c:formatCode>0.00</c:formatCode>
                <c:ptCount val="45"/>
                <c:pt idx="0">
                  <c:v>-2.8628082785970954</c:v>
                </c:pt>
                <c:pt idx="1">
                  <c:v>-2.1827761399987433</c:v>
                </c:pt>
                <c:pt idx="2">
                  <c:v>2.4088707621717997</c:v>
                </c:pt>
                <c:pt idx="3">
                  <c:v>1.7688530781820422</c:v>
                </c:pt>
                <c:pt idx="4">
                  <c:v>2.4751212043888637</c:v>
                </c:pt>
                <c:pt idx="5">
                  <c:v>2.0455274126322642</c:v>
                </c:pt>
                <c:pt idx="6">
                  <c:v>-0.74673304293715326</c:v>
                </c:pt>
                <c:pt idx="7">
                  <c:v>-3.1050906166883108</c:v>
                </c:pt>
                <c:pt idx="8">
                  <c:v>-2.3530876494023856</c:v>
                </c:pt>
                <c:pt idx="9">
                  <c:v>-1.6274978006786456</c:v>
                </c:pt>
                <c:pt idx="10">
                  <c:v>-3.1849529780564212</c:v>
                </c:pt>
                <c:pt idx="11">
                  <c:v>-2.1640600063836612</c:v>
                </c:pt>
                <c:pt idx="12">
                  <c:v>-5.2722172638021148</c:v>
                </c:pt>
                <c:pt idx="13">
                  <c:v>-8.1379750878313608</c:v>
                </c:pt>
                <c:pt idx="14">
                  <c:v>-6.5600310840564724</c:v>
                </c:pt>
                <c:pt idx="15">
                  <c:v>-6.8772021401539813</c:v>
                </c:pt>
                <c:pt idx="16">
                  <c:v>-3.8293290261794177</c:v>
                </c:pt>
                <c:pt idx="17">
                  <c:v>0.42417078089145299</c:v>
                </c:pt>
                <c:pt idx="18">
                  <c:v>8.3165846559007939E-2</c:v>
                </c:pt>
                <c:pt idx="19">
                  <c:v>-0.39938340807175177</c:v>
                </c:pt>
                <c:pt idx="20">
                  <c:v>-0.62981105668299397</c:v>
                </c:pt>
                <c:pt idx="21">
                  <c:v>-0.29081844619859298</c:v>
                </c:pt>
                <c:pt idx="22">
                  <c:v>0.14541929229276995</c:v>
                </c:pt>
                <c:pt idx="23">
                  <c:v>0.71755188181499285</c:v>
                </c:pt>
                <c:pt idx="24">
                  <c:v>1.753521126760571</c:v>
                </c:pt>
                <c:pt idx="25">
                  <c:v>1.9236111111111009</c:v>
                </c:pt>
                <c:pt idx="26">
                  <c:v>2.4547088922693971</c:v>
                </c:pt>
                <c:pt idx="27">
                  <c:v>2.8846825452259583</c:v>
                </c:pt>
                <c:pt idx="28">
                  <c:v>1.0588968094677798</c:v>
                </c:pt>
                <c:pt idx="29">
                  <c:v>0.70177829256659052</c:v>
                </c:pt>
                <c:pt idx="30">
                  <c:v>0.64790443409596943</c:v>
                </c:pt>
                <c:pt idx="31">
                  <c:v>1.0794297352342053</c:v>
                </c:pt>
                <c:pt idx="32">
                  <c:v>0.24654156964798446</c:v>
                </c:pt>
                <c:pt idx="33">
                  <c:v>-1.0893098782138066</c:v>
                </c:pt>
                <c:pt idx="34">
                  <c:v>-2.1122510561255248</c:v>
                </c:pt>
                <c:pt idx="35">
                  <c:v>-1.4641681778494231</c:v>
                </c:pt>
                <c:pt idx="36">
                  <c:v>8.8946577401284301</c:v>
                </c:pt>
                <c:pt idx="37">
                  <c:v>10.657363704767775</c:v>
                </c:pt>
                <c:pt idx="38">
                  <c:v>11.638580627483218</c:v>
                </c:pt>
                <c:pt idx="39">
                  <c:v>11.301206461727208</c:v>
                </c:pt>
                <c:pt idx="40">
                  <c:v>1.9322459222082866</c:v>
                </c:pt>
                <c:pt idx="41">
                  <c:v>0.93960561290722389</c:v>
                </c:pt>
                <c:pt idx="42">
                  <c:v>0.47247959747191981</c:v>
                </c:pt>
                <c:pt idx="43">
                  <c:v>0.50217404617551864</c:v>
                </c:pt>
                <c:pt idx="44">
                  <c:v>0.46159527326439243</c:v>
                </c:pt>
              </c:numCache>
            </c:numRef>
          </c:val>
          <c:extLst>
            <c:ext xmlns:c16="http://schemas.microsoft.com/office/drawing/2014/chart" uri="{C3380CC4-5D6E-409C-BE32-E72D297353CC}">
              <c16:uniqueId val="{00000000-2E36-4FCA-8983-693D96BD42ED}"/>
            </c:ext>
          </c:extLst>
        </c:ser>
        <c:dLbls>
          <c:showLegendKey val="0"/>
          <c:showVal val="0"/>
          <c:showCatName val="0"/>
          <c:showSerName val="0"/>
          <c:showPercent val="0"/>
          <c:showBubbleSize val="0"/>
        </c:dLbls>
        <c:gapWidth val="219"/>
        <c:axId val="296879728"/>
        <c:axId val="296879072"/>
      </c:barChart>
      <c:catAx>
        <c:axId val="296879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96879072"/>
        <c:crosses val="autoZero"/>
        <c:auto val="1"/>
        <c:lblAlgn val="ctr"/>
        <c:lblOffset val="100"/>
        <c:noMultiLvlLbl val="0"/>
      </c:catAx>
      <c:valAx>
        <c:axId val="2968790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96879728"/>
        <c:crosses val="autoZero"/>
        <c:crossBetween val="between"/>
      </c:valAx>
      <c:spPr>
        <a:solidFill>
          <a:schemeClr val="bg1">
            <a:lumMod val="95000"/>
          </a:schemeClr>
        </a:solidFill>
        <a:ln>
          <a:solidFill>
            <a:sysClr val="windowText" lastClr="000000"/>
          </a:solid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b="1"/>
              <a:t>Figure</a:t>
            </a:r>
            <a:r>
              <a:rPr lang="en-US" sz="1200" b="1" baseline="0"/>
              <a:t> 4</a:t>
            </a:r>
          </a:p>
          <a:p>
            <a:pPr>
              <a:defRPr sz="1200" b="1"/>
            </a:pPr>
            <a:r>
              <a:rPr lang="en-US" sz="1200" b="1"/>
              <a:t>Waco Metro Area</a:t>
            </a:r>
            <a:r>
              <a:rPr lang="en-US" sz="1200" b="1" baseline="0"/>
              <a:t> Quarterly </a:t>
            </a:r>
            <a:r>
              <a:rPr lang="en-US" sz="1200" b="1" i="0" u="none" strike="noStrike" baseline="0">
                <a:effectLst/>
              </a:rPr>
              <a:t>Average Annual Percent Change in </a:t>
            </a:r>
          </a:p>
          <a:p>
            <a:pPr>
              <a:defRPr sz="1200" b="1"/>
            </a:pPr>
            <a:r>
              <a:rPr lang="en-US" sz="1200" b="1"/>
              <a:t>Weekly Manufacturing Wages</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1440541086210377E-2"/>
          <c:y val="0.26612510069904627"/>
          <c:w val="0.86846540896003022"/>
          <c:h val="0.65854698855712346"/>
        </c:manualLayout>
      </c:layout>
      <c:barChart>
        <c:barDir val="col"/>
        <c:grouping val="clustered"/>
        <c:varyColors val="0"/>
        <c:ser>
          <c:idx val="0"/>
          <c:order val="0"/>
          <c:spPr>
            <a:solidFill>
              <a:schemeClr val="tx1"/>
            </a:solidFill>
            <a:ln>
              <a:solidFill>
                <a:sysClr val="windowText" lastClr="000000"/>
              </a:solidFill>
            </a:ln>
            <a:effectLst/>
          </c:spPr>
          <c:invertIfNegative val="0"/>
          <c:cat>
            <c:strRef>
              <c:f>'DA201799'!$K$7:$K$51</c:f>
              <c:strCache>
                <c:ptCount val="45"/>
                <c:pt idx="0">
                  <c:v>2006</c:v>
                </c:pt>
                <c:pt idx="1">
                  <c:v> </c:v>
                </c:pt>
                <c:pt idx="2">
                  <c:v> </c:v>
                </c:pt>
                <c:pt idx="3">
                  <c:v> </c:v>
                </c:pt>
                <c:pt idx="4">
                  <c:v>2007</c:v>
                </c:pt>
                <c:pt idx="5">
                  <c:v>  </c:v>
                </c:pt>
                <c:pt idx="6">
                  <c:v> </c:v>
                </c:pt>
                <c:pt idx="7">
                  <c:v> </c:v>
                </c:pt>
                <c:pt idx="8">
                  <c:v>2008</c:v>
                </c:pt>
                <c:pt idx="9">
                  <c:v> </c:v>
                </c:pt>
                <c:pt idx="10">
                  <c:v> </c:v>
                </c:pt>
                <c:pt idx="11">
                  <c:v> </c:v>
                </c:pt>
                <c:pt idx="12">
                  <c:v>2009</c:v>
                </c:pt>
                <c:pt idx="13">
                  <c:v> </c:v>
                </c:pt>
                <c:pt idx="14">
                  <c:v> </c:v>
                </c:pt>
                <c:pt idx="15">
                  <c:v> </c:v>
                </c:pt>
                <c:pt idx="16">
                  <c:v>2010</c:v>
                </c:pt>
                <c:pt idx="17">
                  <c:v> </c:v>
                </c:pt>
                <c:pt idx="18">
                  <c:v> </c:v>
                </c:pt>
                <c:pt idx="19">
                  <c:v> </c:v>
                </c:pt>
                <c:pt idx="20">
                  <c:v>2011</c:v>
                </c:pt>
                <c:pt idx="21">
                  <c:v> </c:v>
                </c:pt>
                <c:pt idx="22">
                  <c:v> </c:v>
                </c:pt>
                <c:pt idx="23">
                  <c:v> </c:v>
                </c:pt>
                <c:pt idx="24">
                  <c:v>2012</c:v>
                </c:pt>
                <c:pt idx="25">
                  <c:v> </c:v>
                </c:pt>
                <c:pt idx="26">
                  <c:v> </c:v>
                </c:pt>
                <c:pt idx="27">
                  <c:v> </c:v>
                </c:pt>
                <c:pt idx="28">
                  <c:v>2013</c:v>
                </c:pt>
                <c:pt idx="29">
                  <c:v> </c:v>
                </c:pt>
                <c:pt idx="30">
                  <c:v> </c:v>
                </c:pt>
                <c:pt idx="31">
                  <c:v> </c:v>
                </c:pt>
                <c:pt idx="32">
                  <c:v>2014</c:v>
                </c:pt>
                <c:pt idx="33">
                  <c:v> </c:v>
                </c:pt>
                <c:pt idx="34">
                  <c:v> </c:v>
                </c:pt>
                <c:pt idx="35">
                  <c:v> </c:v>
                </c:pt>
                <c:pt idx="36">
                  <c:v>2015</c:v>
                </c:pt>
                <c:pt idx="37">
                  <c:v> </c:v>
                </c:pt>
                <c:pt idx="38">
                  <c:v> </c:v>
                </c:pt>
                <c:pt idx="39">
                  <c:v> </c:v>
                </c:pt>
                <c:pt idx="40">
                  <c:v>2016</c:v>
                </c:pt>
                <c:pt idx="41">
                  <c:v> </c:v>
                </c:pt>
                <c:pt idx="42">
                  <c:v> </c:v>
                </c:pt>
                <c:pt idx="43">
                  <c:v> </c:v>
                </c:pt>
                <c:pt idx="44">
                  <c:v>2017</c:v>
                </c:pt>
              </c:strCache>
            </c:strRef>
          </c:cat>
          <c:val>
            <c:numRef>
              <c:f>'DA201799'!$L$7:$L$51</c:f>
              <c:numCache>
                <c:formatCode>0.00</c:formatCode>
                <c:ptCount val="45"/>
                <c:pt idx="0">
                  <c:v>16.273584905660378</c:v>
                </c:pt>
                <c:pt idx="1">
                  <c:v>1.0638297872340496</c:v>
                </c:pt>
                <c:pt idx="2">
                  <c:v>-0.66740823136818284</c:v>
                </c:pt>
                <c:pt idx="3">
                  <c:v>1.1098779134295134</c:v>
                </c:pt>
                <c:pt idx="4">
                  <c:v>0.50709939148072536</c:v>
                </c:pt>
                <c:pt idx="5">
                  <c:v>-0.23391812865497519</c:v>
                </c:pt>
                <c:pt idx="6">
                  <c:v>4.8152295632698738</c:v>
                </c:pt>
                <c:pt idx="7">
                  <c:v>6.4763995609220526</c:v>
                </c:pt>
                <c:pt idx="8">
                  <c:v>11.301715438950556</c:v>
                </c:pt>
                <c:pt idx="9">
                  <c:v>7.5029308323563804</c:v>
                </c:pt>
                <c:pt idx="10">
                  <c:v>8.333333333333325</c:v>
                </c:pt>
                <c:pt idx="11">
                  <c:v>1.5463917525773141</c:v>
                </c:pt>
                <c:pt idx="12">
                  <c:v>0.36264732547597323</c:v>
                </c:pt>
                <c:pt idx="13">
                  <c:v>2.1810250817884347</c:v>
                </c:pt>
                <c:pt idx="14">
                  <c:v>2.3668639053254337</c:v>
                </c:pt>
                <c:pt idx="15">
                  <c:v>16.142131979695428</c:v>
                </c:pt>
                <c:pt idx="16">
                  <c:v>-0.9936766034327027</c:v>
                </c:pt>
                <c:pt idx="17">
                  <c:v>6.2966915688367209</c:v>
                </c:pt>
                <c:pt idx="18">
                  <c:v>3.6608863198458463</c:v>
                </c:pt>
                <c:pt idx="19">
                  <c:v>0.61188811188810366</c:v>
                </c:pt>
                <c:pt idx="20">
                  <c:v>2.6459854014598605</c:v>
                </c:pt>
                <c:pt idx="21">
                  <c:v>4.5180722891566161</c:v>
                </c:pt>
                <c:pt idx="22">
                  <c:v>0.27881040892192566</c:v>
                </c:pt>
                <c:pt idx="23">
                  <c:v>-1.8245004344048632</c:v>
                </c:pt>
                <c:pt idx="24">
                  <c:v>3.1111111111111089</c:v>
                </c:pt>
                <c:pt idx="25">
                  <c:v>6.1479346781940336</c:v>
                </c:pt>
                <c:pt idx="26">
                  <c:v>-4.5412418906394798</c:v>
                </c:pt>
                <c:pt idx="27">
                  <c:v>1.5044247787610709</c:v>
                </c:pt>
                <c:pt idx="28">
                  <c:v>3.7931034482758585</c:v>
                </c:pt>
                <c:pt idx="29">
                  <c:v>2.3529411764705799</c:v>
                </c:pt>
                <c:pt idx="30">
                  <c:v>2.7184466019417375</c:v>
                </c:pt>
                <c:pt idx="31">
                  <c:v>2.7027027027026973</c:v>
                </c:pt>
                <c:pt idx="32">
                  <c:v>-0.83056478405315604</c:v>
                </c:pt>
                <c:pt idx="33">
                  <c:v>2.1220159151193574</c:v>
                </c:pt>
                <c:pt idx="34">
                  <c:v>-1.5122873345935761</c:v>
                </c:pt>
                <c:pt idx="35">
                  <c:v>1.6129032258064502</c:v>
                </c:pt>
                <c:pt idx="36">
                  <c:v>-2.9313232830820768</c:v>
                </c:pt>
                <c:pt idx="37">
                  <c:v>-4.0692640692640669</c:v>
                </c:pt>
                <c:pt idx="38">
                  <c:v>2.1113243761996081</c:v>
                </c:pt>
                <c:pt idx="39">
                  <c:v>1.7543859649122862</c:v>
                </c:pt>
                <c:pt idx="40">
                  <c:v>3.2786885245901676</c:v>
                </c:pt>
                <c:pt idx="41">
                  <c:v>6.9494584837545226</c:v>
                </c:pt>
                <c:pt idx="42">
                  <c:v>13.627819548872179</c:v>
                </c:pt>
                <c:pt idx="43">
                  <c:v>-5.3366174055829223</c:v>
                </c:pt>
                <c:pt idx="44">
                  <c:v>14.954051796157053</c:v>
                </c:pt>
              </c:numCache>
            </c:numRef>
          </c:val>
          <c:extLst>
            <c:ext xmlns:c16="http://schemas.microsoft.com/office/drawing/2014/chart" uri="{C3380CC4-5D6E-409C-BE32-E72D297353CC}">
              <c16:uniqueId val="{00000000-ECF2-43E7-AEE3-B6F559B9E280}"/>
            </c:ext>
          </c:extLst>
        </c:ser>
        <c:dLbls>
          <c:showLegendKey val="0"/>
          <c:showVal val="0"/>
          <c:showCatName val="0"/>
          <c:showSerName val="0"/>
          <c:showPercent val="0"/>
          <c:showBubbleSize val="0"/>
        </c:dLbls>
        <c:gapWidth val="219"/>
        <c:overlap val="-27"/>
        <c:axId val="354903280"/>
        <c:axId val="354900656"/>
      </c:barChart>
      <c:catAx>
        <c:axId val="354903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4900656"/>
        <c:crosses val="autoZero"/>
        <c:auto val="1"/>
        <c:lblAlgn val="ctr"/>
        <c:lblOffset val="100"/>
        <c:noMultiLvlLbl val="0"/>
      </c:catAx>
      <c:valAx>
        <c:axId val="3549006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4903280"/>
        <c:crosses val="autoZero"/>
        <c:crossBetween val="between"/>
      </c:valAx>
      <c:spPr>
        <a:solidFill>
          <a:schemeClr val="bg1">
            <a:lumMod val="95000"/>
          </a:schemeClr>
        </a:solidFill>
        <a:ln>
          <a:solidFill>
            <a:schemeClr val="tx1"/>
          </a:solid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spcBef>
          <a:spcPts val="0"/>
        </a:spcBef>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b="1"/>
              <a:t>Figure 5</a:t>
            </a:r>
          </a:p>
          <a:p>
            <a:pPr>
              <a:defRPr sz="1200" b="1"/>
            </a:pPr>
            <a:r>
              <a:rPr lang="en-US" sz="1200" b="1"/>
              <a:t>Waco MSA</a:t>
            </a:r>
            <a:r>
              <a:rPr lang="en-US" sz="1200" b="1" baseline="0"/>
              <a:t> Quarterly </a:t>
            </a:r>
            <a:r>
              <a:rPr lang="en-US" sz="1200" b="1"/>
              <a:t>Annual Percent Change in</a:t>
            </a:r>
            <a:r>
              <a:rPr lang="en-US" sz="1200" b="1" baseline="0"/>
              <a:t> </a:t>
            </a:r>
            <a:r>
              <a:rPr lang="en-US" sz="1200" b="1"/>
              <a:t>Employment</a:t>
            </a:r>
            <a:r>
              <a:rPr lang="en-US" sz="1200" b="1" baseline="0"/>
              <a:t> in</a:t>
            </a:r>
          </a:p>
          <a:p>
            <a:pPr>
              <a:defRPr sz="1200" b="1"/>
            </a:pPr>
            <a:r>
              <a:rPr lang="en-US" sz="1200" b="1" baseline="0"/>
              <a:t>Business and Professional Services</a:t>
            </a:r>
            <a:endParaRPr lang="en-US" sz="1200" b="1"/>
          </a:p>
        </c:rich>
      </c:tx>
      <c:layout>
        <c:manualLayout>
          <c:xMode val="edge"/>
          <c:yMode val="edge"/>
          <c:x val="0.15384903434301986"/>
          <c:y val="3.6036036036036036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8575853018372707E-2"/>
          <c:y val="0.24460413322121144"/>
          <c:w val="0.89697970253718284"/>
          <c:h val="0.56409518117166046"/>
        </c:manualLayout>
      </c:layout>
      <c:barChart>
        <c:barDir val="col"/>
        <c:grouping val="clustered"/>
        <c:varyColors val="0"/>
        <c:ser>
          <c:idx val="0"/>
          <c:order val="0"/>
          <c:tx>
            <c:strRef>
              <c:f>'[SeriesReport-20171023131454_13bd61.xlsx]Sheet1'!$A$15</c:f>
              <c:strCache>
                <c:ptCount val="1"/>
                <c:pt idx="0">
                  <c:v>1st</c:v>
                </c:pt>
              </c:strCache>
            </c:strRef>
          </c:tx>
          <c:spPr>
            <a:solidFill>
              <a:srgbClr val="C00000"/>
            </a:solidFill>
            <a:ln>
              <a:solidFill>
                <a:schemeClr val="tx1"/>
              </a:solidFill>
            </a:ln>
            <a:effectLst/>
          </c:spPr>
          <c:invertIfNegative val="0"/>
          <c:cat>
            <c:numRef>
              <c:f>'[SeriesReport-20171023131454_13bd61.xlsx]Sheet1'!$B$14:$I$14</c:f>
              <c:numCache>
                <c:formatCode>General</c:formatCode>
                <c:ptCount val="8"/>
                <c:pt idx="0">
                  <c:v>2010</c:v>
                </c:pt>
                <c:pt idx="1">
                  <c:v>2011</c:v>
                </c:pt>
                <c:pt idx="2">
                  <c:v>2012</c:v>
                </c:pt>
                <c:pt idx="3">
                  <c:v>2013</c:v>
                </c:pt>
                <c:pt idx="4">
                  <c:v>2014</c:v>
                </c:pt>
                <c:pt idx="5">
                  <c:v>2015</c:v>
                </c:pt>
                <c:pt idx="6">
                  <c:v>2016</c:v>
                </c:pt>
                <c:pt idx="7">
                  <c:v>2017</c:v>
                </c:pt>
              </c:numCache>
            </c:numRef>
          </c:cat>
          <c:val>
            <c:numRef>
              <c:f>'[SeriesReport-20171023131454_13bd61.xlsx]Sheet1'!$B$15:$I$15</c:f>
              <c:numCache>
                <c:formatCode>0.00</c:formatCode>
                <c:ptCount val="8"/>
                <c:pt idx="0">
                  <c:v>8.4333333333333318</c:v>
                </c:pt>
                <c:pt idx="1">
                  <c:v>8.5666666666666664</c:v>
                </c:pt>
                <c:pt idx="2">
                  <c:v>9.1666666666666661</c:v>
                </c:pt>
                <c:pt idx="3">
                  <c:v>9.4666666666666668</c:v>
                </c:pt>
                <c:pt idx="4">
                  <c:v>10.066666666666666</c:v>
                </c:pt>
                <c:pt idx="5">
                  <c:v>11.299999999999999</c:v>
                </c:pt>
                <c:pt idx="6">
                  <c:v>11.866666666666667</c:v>
                </c:pt>
                <c:pt idx="7">
                  <c:v>12.366666666666667</c:v>
                </c:pt>
              </c:numCache>
            </c:numRef>
          </c:val>
          <c:extLst>
            <c:ext xmlns:c16="http://schemas.microsoft.com/office/drawing/2014/chart" uri="{C3380CC4-5D6E-409C-BE32-E72D297353CC}">
              <c16:uniqueId val="{00000000-1C6A-4347-96DB-E150E40AC42F}"/>
            </c:ext>
          </c:extLst>
        </c:ser>
        <c:ser>
          <c:idx val="1"/>
          <c:order val="1"/>
          <c:tx>
            <c:strRef>
              <c:f>'[SeriesReport-20171023131454_13bd61.xlsx]Sheet1'!$A$16</c:f>
              <c:strCache>
                <c:ptCount val="1"/>
                <c:pt idx="0">
                  <c:v>2nd</c:v>
                </c:pt>
              </c:strCache>
            </c:strRef>
          </c:tx>
          <c:spPr>
            <a:solidFill>
              <a:srgbClr val="92D050"/>
            </a:solidFill>
            <a:ln>
              <a:solidFill>
                <a:schemeClr val="tx1"/>
              </a:solidFill>
            </a:ln>
            <a:effectLst/>
          </c:spPr>
          <c:invertIfNegative val="0"/>
          <c:cat>
            <c:numRef>
              <c:f>'[SeriesReport-20171023131454_13bd61.xlsx]Sheet1'!$B$14:$I$14</c:f>
              <c:numCache>
                <c:formatCode>General</c:formatCode>
                <c:ptCount val="8"/>
                <c:pt idx="0">
                  <c:v>2010</c:v>
                </c:pt>
                <c:pt idx="1">
                  <c:v>2011</c:v>
                </c:pt>
                <c:pt idx="2">
                  <c:v>2012</c:v>
                </c:pt>
                <c:pt idx="3">
                  <c:v>2013</c:v>
                </c:pt>
                <c:pt idx="4">
                  <c:v>2014</c:v>
                </c:pt>
                <c:pt idx="5">
                  <c:v>2015</c:v>
                </c:pt>
                <c:pt idx="6">
                  <c:v>2016</c:v>
                </c:pt>
                <c:pt idx="7">
                  <c:v>2017</c:v>
                </c:pt>
              </c:numCache>
            </c:numRef>
          </c:cat>
          <c:val>
            <c:numRef>
              <c:f>'[SeriesReport-20171023131454_13bd61.xlsx]Sheet1'!$B$16:$I$16</c:f>
              <c:numCache>
                <c:formatCode>0.00</c:formatCode>
                <c:ptCount val="8"/>
                <c:pt idx="0">
                  <c:v>8.7333333333333325</c:v>
                </c:pt>
                <c:pt idx="1">
                  <c:v>9.2333333333333325</c:v>
                </c:pt>
                <c:pt idx="2">
                  <c:v>8.8666666666666671</c:v>
                </c:pt>
                <c:pt idx="3">
                  <c:v>10.066666666666668</c:v>
                </c:pt>
                <c:pt idx="4">
                  <c:v>11.633333333333333</c:v>
                </c:pt>
                <c:pt idx="5">
                  <c:v>10.866666666666667</c:v>
                </c:pt>
                <c:pt idx="6">
                  <c:v>11.5</c:v>
                </c:pt>
                <c:pt idx="7">
                  <c:v>12.133333333333333</c:v>
                </c:pt>
              </c:numCache>
            </c:numRef>
          </c:val>
          <c:extLst>
            <c:ext xmlns:c16="http://schemas.microsoft.com/office/drawing/2014/chart" uri="{C3380CC4-5D6E-409C-BE32-E72D297353CC}">
              <c16:uniqueId val="{00000001-1C6A-4347-96DB-E150E40AC42F}"/>
            </c:ext>
          </c:extLst>
        </c:ser>
        <c:ser>
          <c:idx val="2"/>
          <c:order val="2"/>
          <c:tx>
            <c:strRef>
              <c:f>'[SeriesReport-20171023131454_13bd61.xlsx]Sheet1'!$A$17</c:f>
              <c:strCache>
                <c:ptCount val="1"/>
                <c:pt idx="0">
                  <c:v>3rd</c:v>
                </c:pt>
              </c:strCache>
            </c:strRef>
          </c:tx>
          <c:spPr>
            <a:solidFill>
              <a:srgbClr val="FFFF00"/>
            </a:solidFill>
            <a:ln>
              <a:solidFill>
                <a:schemeClr val="tx1"/>
              </a:solidFill>
            </a:ln>
            <a:effectLst/>
          </c:spPr>
          <c:invertIfNegative val="0"/>
          <c:cat>
            <c:numRef>
              <c:f>'[SeriesReport-20171023131454_13bd61.xlsx]Sheet1'!$B$14:$I$14</c:f>
              <c:numCache>
                <c:formatCode>General</c:formatCode>
                <c:ptCount val="8"/>
                <c:pt idx="0">
                  <c:v>2010</c:v>
                </c:pt>
                <c:pt idx="1">
                  <c:v>2011</c:v>
                </c:pt>
                <c:pt idx="2">
                  <c:v>2012</c:v>
                </c:pt>
                <c:pt idx="3">
                  <c:v>2013</c:v>
                </c:pt>
                <c:pt idx="4">
                  <c:v>2014</c:v>
                </c:pt>
                <c:pt idx="5">
                  <c:v>2015</c:v>
                </c:pt>
                <c:pt idx="6">
                  <c:v>2016</c:v>
                </c:pt>
                <c:pt idx="7">
                  <c:v>2017</c:v>
                </c:pt>
              </c:numCache>
            </c:numRef>
          </c:cat>
          <c:val>
            <c:numRef>
              <c:f>'[SeriesReport-20171023131454_13bd61.xlsx]Sheet1'!$B$17:$I$17</c:f>
              <c:numCache>
                <c:formatCode>0.00</c:formatCode>
                <c:ptCount val="8"/>
                <c:pt idx="0">
                  <c:v>8.7666666666666675</c:v>
                </c:pt>
                <c:pt idx="1">
                  <c:v>9.1666666666666661</c:v>
                </c:pt>
                <c:pt idx="2">
                  <c:v>9.3333333333333339</c:v>
                </c:pt>
                <c:pt idx="3">
                  <c:v>10.166666666666666</c:v>
                </c:pt>
                <c:pt idx="4">
                  <c:v>10.833333333333334</c:v>
                </c:pt>
                <c:pt idx="5">
                  <c:v>11.533333333333331</c:v>
                </c:pt>
                <c:pt idx="6">
                  <c:v>12.066666666666668</c:v>
                </c:pt>
                <c:pt idx="7">
                  <c:v>11.699999999999998</c:v>
                </c:pt>
              </c:numCache>
            </c:numRef>
          </c:val>
          <c:extLst>
            <c:ext xmlns:c16="http://schemas.microsoft.com/office/drawing/2014/chart" uri="{C3380CC4-5D6E-409C-BE32-E72D297353CC}">
              <c16:uniqueId val="{00000002-1C6A-4347-96DB-E150E40AC42F}"/>
            </c:ext>
          </c:extLst>
        </c:ser>
        <c:ser>
          <c:idx val="3"/>
          <c:order val="3"/>
          <c:tx>
            <c:strRef>
              <c:f>'[SeriesReport-20171023131454_13bd61.xlsx]Sheet1'!$A$18</c:f>
              <c:strCache>
                <c:ptCount val="1"/>
                <c:pt idx="0">
                  <c:v>4th</c:v>
                </c:pt>
              </c:strCache>
            </c:strRef>
          </c:tx>
          <c:spPr>
            <a:solidFill>
              <a:srgbClr val="002060"/>
            </a:solidFill>
            <a:ln>
              <a:solidFill>
                <a:schemeClr val="tx1"/>
              </a:solidFill>
            </a:ln>
            <a:effectLst/>
          </c:spPr>
          <c:invertIfNegative val="0"/>
          <c:cat>
            <c:numRef>
              <c:f>'[SeriesReport-20171023131454_13bd61.xlsx]Sheet1'!$B$14:$I$14</c:f>
              <c:numCache>
                <c:formatCode>General</c:formatCode>
                <c:ptCount val="8"/>
                <c:pt idx="0">
                  <c:v>2010</c:v>
                </c:pt>
                <c:pt idx="1">
                  <c:v>2011</c:v>
                </c:pt>
                <c:pt idx="2">
                  <c:v>2012</c:v>
                </c:pt>
                <c:pt idx="3">
                  <c:v>2013</c:v>
                </c:pt>
                <c:pt idx="4">
                  <c:v>2014</c:v>
                </c:pt>
                <c:pt idx="5">
                  <c:v>2015</c:v>
                </c:pt>
                <c:pt idx="6">
                  <c:v>2016</c:v>
                </c:pt>
                <c:pt idx="7">
                  <c:v>2017</c:v>
                </c:pt>
              </c:numCache>
            </c:numRef>
          </c:cat>
          <c:val>
            <c:numRef>
              <c:f>'[SeriesReport-20171023131454_13bd61.xlsx]Sheet1'!$B$18:$I$18</c:f>
              <c:numCache>
                <c:formatCode>0.00</c:formatCode>
                <c:ptCount val="8"/>
                <c:pt idx="0">
                  <c:v>8.4666666666666668</c:v>
                </c:pt>
                <c:pt idx="1">
                  <c:v>8.9</c:v>
                </c:pt>
                <c:pt idx="2">
                  <c:v>9.7333333333333325</c:v>
                </c:pt>
                <c:pt idx="3">
                  <c:v>9.9333333333333318</c:v>
                </c:pt>
                <c:pt idx="4">
                  <c:v>12.066666666666668</c:v>
                </c:pt>
                <c:pt idx="5">
                  <c:v>12.6</c:v>
                </c:pt>
                <c:pt idx="6">
                  <c:v>12.5</c:v>
                </c:pt>
              </c:numCache>
            </c:numRef>
          </c:val>
          <c:extLst>
            <c:ext xmlns:c16="http://schemas.microsoft.com/office/drawing/2014/chart" uri="{C3380CC4-5D6E-409C-BE32-E72D297353CC}">
              <c16:uniqueId val="{00000003-1C6A-4347-96DB-E150E40AC42F}"/>
            </c:ext>
          </c:extLst>
        </c:ser>
        <c:dLbls>
          <c:showLegendKey val="0"/>
          <c:showVal val="0"/>
          <c:showCatName val="0"/>
          <c:showSerName val="0"/>
          <c:showPercent val="0"/>
          <c:showBubbleSize val="0"/>
        </c:dLbls>
        <c:gapWidth val="219"/>
        <c:overlap val="-27"/>
        <c:axId val="270901656"/>
        <c:axId val="270900672"/>
      </c:barChart>
      <c:catAx>
        <c:axId val="270901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70900672"/>
        <c:crosses val="autoZero"/>
        <c:auto val="1"/>
        <c:lblAlgn val="ctr"/>
        <c:lblOffset val="100"/>
        <c:noMultiLvlLbl val="0"/>
      </c:catAx>
      <c:valAx>
        <c:axId val="2709006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70901656"/>
        <c:crosses val="autoZero"/>
        <c:crossBetween val="between"/>
      </c:valAx>
      <c:spPr>
        <a:solidFill>
          <a:schemeClr val="bg1">
            <a:lumMod val="95000"/>
          </a:schemeClr>
        </a:solid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Figure 6</a:t>
            </a:r>
          </a:p>
          <a:p>
            <a:pPr>
              <a:defRPr/>
            </a:pPr>
            <a:r>
              <a:rPr lang="en-US" sz="1200" b="1"/>
              <a:t>Annual Percent</a:t>
            </a:r>
            <a:r>
              <a:rPr lang="en-US" sz="1200" b="1" baseline="0"/>
              <a:t> Change in Waco MSA Education and </a:t>
            </a:r>
          </a:p>
          <a:p>
            <a:pPr>
              <a:defRPr/>
            </a:pPr>
            <a:r>
              <a:rPr lang="en-US" sz="1200" b="1" baseline="0"/>
              <a:t>Healthcare Monthly Employment</a:t>
            </a:r>
            <a:endParaRPr lang="en-US" sz="1200" b="1"/>
          </a:p>
        </c:rich>
      </c:tx>
      <c:layout>
        <c:manualLayout>
          <c:xMode val="edge"/>
          <c:yMode val="edge"/>
          <c:x val="0.21013097585387747"/>
          <c:y val="3.337477552148087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7259430132608216E-2"/>
          <c:y val="0.23910256410256411"/>
          <c:w val="0.91873620543749546"/>
          <c:h val="0.56400262467191598"/>
        </c:manualLayout>
      </c:layout>
      <c:barChart>
        <c:barDir val="col"/>
        <c:grouping val="clustered"/>
        <c:varyColors val="0"/>
        <c:ser>
          <c:idx val="0"/>
          <c:order val="0"/>
          <c:tx>
            <c:strRef>
              <c:f>'[SeriesReport-20171101162543_2b9f5b.xlsx]BLS Data Series'!$A$14</c:f>
              <c:strCache>
                <c:ptCount val="1"/>
                <c:pt idx="0">
                  <c:v>2015</c:v>
                </c:pt>
              </c:strCache>
            </c:strRef>
          </c:tx>
          <c:spPr>
            <a:solidFill>
              <a:srgbClr val="C00000"/>
            </a:solidFill>
            <a:ln>
              <a:solidFill>
                <a:schemeClr val="tx1"/>
              </a:solidFill>
            </a:ln>
            <a:effectLst/>
          </c:spPr>
          <c:invertIfNegative val="0"/>
          <c:cat>
            <c:strRef>
              <c:f>'[SeriesReport-20171101162543_2b9f5b.xlsx]BLS Data Series'!$B$13:$M$13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'[SeriesReport-20171101162543_2b9f5b.xlsx]BLS Data Series'!$B$14:$M$14</c:f>
              <c:numCache>
                <c:formatCode>#0.0</c:formatCode>
                <c:ptCount val="12"/>
                <c:pt idx="0">
                  <c:v>3.3</c:v>
                </c:pt>
                <c:pt idx="1">
                  <c:v>2.7</c:v>
                </c:pt>
                <c:pt idx="2">
                  <c:v>2.2000000000000002</c:v>
                </c:pt>
                <c:pt idx="3">
                  <c:v>1.6</c:v>
                </c:pt>
                <c:pt idx="4">
                  <c:v>2.7</c:v>
                </c:pt>
                <c:pt idx="5">
                  <c:v>3.2</c:v>
                </c:pt>
                <c:pt idx="6">
                  <c:v>2.1</c:v>
                </c:pt>
                <c:pt idx="7">
                  <c:v>3.7</c:v>
                </c:pt>
                <c:pt idx="8">
                  <c:v>2.6</c:v>
                </c:pt>
                <c:pt idx="9">
                  <c:v>3.2</c:v>
                </c:pt>
                <c:pt idx="10">
                  <c:v>2.6</c:v>
                </c:pt>
                <c:pt idx="11">
                  <c:v>3.1</c:v>
                </c:pt>
              </c:numCache>
            </c:numRef>
          </c:val>
          <c:extLst>
            <c:ext xmlns:c16="http://schemas.microsoft.com/office/drawing/2014/chart" uri="{C3380CC4-5D6E-409C-BE32-E72D297353CC}">
              <c16:uniqueId val="{00000000-03C7-48C6-B7CE-46C5FCDB7962}"/>
            </c:ext>
          </c:extLst>
        </c:ser>
        <c:ser>
          <c:idx val="1"/>
          <c:order val="1"/>
          <c:tx>
            <c:strRef>
              <c:f>'[SeriesReport-20171101162543_2b9f5b.xlsx]BLS Data Series'!$A$15</c:f>
              <c:strCache>
                <c:ptCount val="1"/>
                <c:pt idx="0">
                  <c:v>2016</c:v>
                </c:pt>
              </c:strCache>
            </c:strRef>
          </c:tx>
          <c:spPr>
            <a:solidFill>
              <a:srgbClr val="92D050"/>
            </a:solidFill>
            <a:ln>
              <a:solidFill>
                <a:schemeClr val="tx1"/>
              </a:solidFill>
            </a:ln>
            <a:effectLst/>
          </c:spPr>
          <c:invertIfNegative val="0"/>
          <c:cat>
            <c:strRef>
              <c:f>'[SeriesReport-20171101162543_2b9f5b.xlsx]BLS Data Series'!$B$13:$M$13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'[SeriesReport-20171101162543_2b9f5b.xlsx]BLS Data Series'!$B$15:$M$15</c:f>
              <c:numCache>
                <c:formatCode>#0.0</c:formatCode>
                <c:ptCount val="12"/>
                <c:pt idx="0">
                  <c:v>2.1</c:v>
                </c:pt>
                <c:pt idx="1">
                  <c:v>4.2</c:v>
                </c:pt>
                <c:pt idx="2">
                  <c:v>4.8</c:v>
                </c:pt>
                <c:pt idx="3">
                  <c:v>3.7</c:v>
                </c:pt>
                <c:pt idx="4">
                  <c:v>3.1</c:v>
                </c:pt>
                <c:pt idx="5">
                  <c:v>3.1</c:v>
                </c:pt>
                <c:pt idx="6">
                  <c:v>3.7</c:v>
                </c:pt>
                <c:pt idx="7">
                  <c:v>3.1</c:v>
                </c:pt>
                <c:pt idx="8">
                  <c:v>3.1</c:v>
                </c:pt>
                <c:pt idx="9">
                  <c:v>3.1</c:v>
                </c:pt>
                <c:pt idx="10">
                  <c:v>3</c:v>
                </c:pt>
                <c:pt idx="11">
                  <c:v>2.5</c:v>
                </c:pt>
              </c:numCache>
            </c:numRef>
          </c:val>
          <c:extLst>
            <c:ext xmlns:c16="http://schemas.microsoft.com/office/drawing/2014/chart" uri="{C3380CC4-5D6E-409C-BE32-E72D297353CC}">
              <c16:uniqueId val="{00000001-03C7-48C6-B7CE-46C5FCDB7962}"/>
            </c:ext>
          </c:extLst>
        </c:ser>
        <c:ser>
          <c:idx val="2"/>
          <c:order val="2"/>
          <c:tx>
            <c:strRef>
              <c:f>'[SeriesReport-20171101162543_2b9f5b.xlsx]BLS Data Series'!$A$16</c:f>
              <c:strCache>
                <c:ptCount val="1"/>
                <c:pt idx="0">
                  <c:v>2017</c:v>
                </c:pt>
              </c:strCache>
            </c:strRef>
          </c:tx>
          <c:spPr>
            <a:solidFill>
              <a:srgbClr val="002060"/>
            </a:solidFill>
            <a:ln>
              <a:solidFill>
                <a:srgbClr val="002060"/>
              </a:solidFill>
            </a:ln>
            <a:effectLst/>
          </c:spPr>
          <c:invertIfNegative val="0"/>
          <c:cat>
            <c:strRef>
              <c:f>'[SeriesReport-20171101162543_2b9f5b.xlsx]BLS Data Series'!$B$13:$M$13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'[SeriesReport-20171101162543_2b9f5b.xlsx]BLS Data Series'!$B$16:$M$16</c:f>
              <c:numCache>
                <c:formatCode>#0.0</c:formatCode>
                <c:ptCount val="12"/>
                <c:pt idx="0">
                  <c:v>3.1</c:v>
                </c:pt>
                <c:pt idx="1">
                  <c:v>2.5</c:v>
                </c:pt>
                <c:pt idx="2">
                  <c:v>1.5</c:v>
                </c:pt>
                <c:pt idx="3">
                  <c:v>3.6</c:v>
                </c:pt>
                <c:pt idx="4">
                  <c:v>0.5</c:v>
                </c:pt>
                <c:pt idx="5">
                  <c:v>0.5</c:v>
                </c:pt>
                <c:pt idx="6">
                  <c:v>0.5</c:v>
                </c:pt>
                <c:pt idx="7">
                  <c:v>1</c:v>
                </c:pt>
                <c:pt idx="8">
                  <c:v>0</c:v>
                </c:pt>
              </c:numCache>
            </c:numRef>
          </c:val>
          <c:extLst>
            <c:ext xmlns:c16="http://schemas.microsoft.com/office/drawing/2014/chart" uri="{C3380CC4-5D6E-409C-BE32-E72D297353CC}">
              <c16:uniqueId val="{00000002-03C7-48C6-B7CE-46C5FCDB7962}"/>
            </c:ext>
          </c:extLst>
        </c:ser>
        <c:dLbls>
          <c:showLegendKey val="0"/>
          <c:showVal val="0"/>
          <c:showCatName val="0"/>
          <c:showSerName val="0"/>
          <c:showPercent val="0"/>
          <c:showBubbleSize val="0"/>
        </c:dLbls>
        <c:gapWidth val="219"/>
        <c:overlap val="-27"/>
        <c:axId val="272540240"/>
        <c:axId val="272540568"/>
      </c:barChart>
      <c:catAx>
        <c:axId val="272540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2540568"/>
        <c:crosses val="autoZero"/>
        <c:auto val="1"/>
        <c:lblAlgn val="ctr"/>
        <c:lblOffset val="100"/>
        <c:noMultiLvlLbl val="0"/>
      </c:catAx>
      <c:valAx>
        <c:axId val="27254056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2540240"/>
        <c:crosses val="autoZero"/>
        <c:crossBetween val="between"/>
      </c:valAx>
      <c:spPr>
        <a:solidFill>
          <a:schemeClr val="bg1">
            <a:lumMod val="95000"/>
          </a:schemeClr>
        </a:solid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b="1"/>
              <a:t>Figure 7</a:t>
            </a:r>
          </a:p>
          <a:p>
            <a:pPr>
              <a:defRPr sz="1200" b="1"/>
            </a:pPr>
            <a:r>
              <a:rPr lang="en-US" sz="1200" b="1"/>
              <a:t>Waco</a:t>
            </a:r>
            <a:r>
              <a:rPr lang="en-US" sz="1200" b="1" baseline="0"/>
              <a:t> MSA Monthly Leisure and Hospitality Employment</a:t>
            </a:r>
            <a:r>
              <a:rPr lang="en-US" sz="1200" b="1"/>
              <a:t> </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2182802674706045E-2"/>
          <c:y val="0.20556722076407116"/>
          <c:w val="0.90412306700757716"/>
          <c:h val="0.55701480023330419"/>
        </c:manualLayout>
      </c:layout>
      <c:barChart>
        <c:barDir val="col"/>
        <c:grouping val="clustered"/>
        <c:varyColors val="0"/>
        <c:ser>
          <c:idx val="0"/>
          <c:order val="0"/>
          <c:tx>
            <c:strRef>
              <c:f>'[SeriesReport-20171106145842_c02796.xlsx]BLS Data Series'!$A$20</c:f>
              <c:strCache>
                <c:ptCount val="1"/>
                <c:pt idx="0">
                  <c:v>2015</c:v>
                </c:pt>
              </c:strCache>
            </c:strRef>
          </c:tx>
          <c:spPr>
            <a:solidFill>
              <a:srgbClr val="C00000"/>
            </a:solidFill>
            <a:ln>
              <a:solidFill>
                <a:sysClr val="windowText" lastClr="000000"/>
              </a:solidFill>
            </a:ln>
            <a:effectLst/>
          </c:spPr>
          <c:invertIfNegative val="0"/>
          <c:cat>
            <c:strRef>
              <c:f>'[SeriesReport-20171106145842_c02796.xlsx]BLS Data Series'!$B$19:$M$19</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'[SeriesReport-20171106145842_c02796.xlsx]BLS Data Series'!$B$20:$M$20</c:f>
              <c:numCache>
                <c:formatCode>#0.0</c:formatCode>
                <c:ptCount val="12"/>
                <c:pt idx="0">
                  <c:v>10.9</c:v>
                </c:pt>
                <c:pt idx="1">
                  <c:v>11</c:v>
                </c:pt>
                <c:pt idx="2">
                  <c:v>11</c:v>
                </c:pt>
                <c:pt idx="3">
                  <c:v>11.2</c:v>
                </c:pt>
                <c:pt idx="4">
                  <c:v>11.3</c:v>
                </c:pt>
                <c:pt idx="5">
                  <c:v>11.5</c:v>
                </c:pt>
                <c:pt idx="6">
                  <c:v>11.3</c:v>
                </c:pt>
                <c:pt idx="7">
                  <c:v>11.2</c:v>
                </c:pt>
                <c:pt idx="8">
                  <c:v>11.5</c:v>
                </c:pt>
                <c:pt idx="9">
                  <c:v>11.4</c:v>
                </c:pt>
                <c:pt idx="10">
                  <c:v>11.3</c:v>
                </c:pt>
                <c:pt idx="11">
                  <c:v>11.3</c:v>
                </c:pt>
              </c:numCache>
            </c:numRef>
          </c:val>
          <c:extLst>
            <c:ext xmlns:c16="http://schemas.microsoft.com/office/drawing/2014/chart" uri="{C3380CC4-5D6E-409C-BE32-E72D297353CC}">
              <c16:uniqueId val="{00000000-4B4C-47BC-800C-1D4E1AA6C565}"/>
            </c:ext>
          </c:extLst>
        </c:ser>
        <c:ser>
          <c:idx val="1"/>
          <c:order val="1"/>
          <c:tx>
            <c:strRef>
              <c:f>'[SeriesReport-20171106145842_c02796.xlsx]BLS Data Series'!$A$21</c:f>
              <c:strCache>
                <c:ptCount val="1"/>
                <c:pt idx="0">
                  <c:v>2016</c:v>
                </c:pt>
              </c:strCache>
            </c:strRef>
          </c:tx>
          <c:spPr>
            <a:solidFill>
              <a:srgbClr val="FFFF00"/>
            </a:solidFill>
            <a:ln>
              <a:solidFill>
                <a:schemeClr val="tx1"/>
              </a:solidFill>
            </a:ln>
            <a:effectLst/>
          </c:spPr>
          <c:invertIfNegative val="0"/>
          <c:cat>
            <c:strRef>
              <c:f>'[SeriesReport-20171106145842_c02796.xlsx]BLS Data Series'!$B$19:$M$19</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'[SeriesReport-20171106145842_c02796.xlsx]BLS Data Series'!$B$21:$M$21</c:f>
              <c:numCache>
                <c:formatCode>#0.0</c:formatCode>
                <c:ptCount val="12"/>
                <c:pt idx="0">
                  <c:v>11.1</c:v>
                </c:pt>
                <c:pt idx="1">
                  <c:v>11.4</c:v>
                </c:pt>
                <c:pt idx="2">
                  <c:v>11.5</c:v>
                </c:pt>
                <c:pt idx="3">
                  <c:v>11.9</c:v>
                </c:pt>
                <c:pt idx="4">
                  <c:v>12</c:v>
                </c:pt>
                <c:pt idx="5">
                  <c:v>11.9</c:v>
                </c:pt>
                <c:pt idx="6">
                  <c:v>11.7</c:v>
                </c:pt>
                <c:pt idx="7">
                  <c:v>11.8</c:v>
                </c:pt>
                <c:pt idx="8">
                  <c:v>11.8</c:v>
                </c:pt>
                <c:pt idx="9">
                  <c:v>11.7</c:v>
                </c:pt>
                <c:pt idx="10">
                  <c:v>11.8</c:v>
                </c:pt>
                <c:pt idx="11">
                  <c:v>11.7</c:v>
                </c:pt>
              </c:numCache>
            </c:numRef>
          </c:val>
          <c:extLst>
            <c:ext xmlns:c16="http://schemas.microsoft.com/office/drawing/2014/chart" uri="{C3380CC4-5D6E-409C-BE32-E72D297353CC}">
              <c16:uniqueId val="{00000001-4B4C-47BC-800C-1D4E1AA6C565}"/>
            </c:ext>
          </c:extLst>
        </c:ser>
        <c:ser>
          <c:idx val="2"/>
          <c:order val="2"/>
          <c:tx>
            <c:strRef>
              <c:f>'[SeriesReport-20171106145842_c02796.xlsx]BLS Data Series'!$A$22</c:f>
              <c:strCache>
                <c:ptCount val="1"/>
                <c:pt idx="0">
                  <c:v>2017</c:v>
                </c:pt>
              </c:strCache>
            </c:strRef>
          </c:tx>
          <c:spPr>
            <a:solidFill>
              <a:srgbClr val="002060"/>
            </a:solidFill>
            <a:ln>
              <a:solidFill>
                <a:schemeClr val="tx1"/>
              </a:solidFill>
            </a:ln>
            <a:effectLst/>
          </c:spPr>
          <c:invertIfNegative val="0"/>
          <c:cat>
            <c:strRef>
              <c:f>'[SeriesReport-20171106145842_c02796.xlsx]BLS Data Series'!$B$19:$M$19</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'[SeriesReport-20171106145842_c02796.xlsx]BLS Data Series'!$B$22:$M$22</c:f>
              <c:numCache>
                <c:formatCode>#0.0</c:formatCode>
                <c:ptCount val="12"/>
                <c:pt idx="0">
                  <c:v>11.4</c:v>
                </c:pt>
                <c:pt idx="1">
                  <c:v>11.6</c:v>
                </c:pt>
                <c:pt idx="2">
                  <c:v>11.7</c:v>
                </c:pt>
                <c:pt idx="3">
                  <c:v>11.9</c:v>
                </c:pt>
                <c:pt idx="4">
                  <c:v>12</c:v>
                </c:pt>
                <c:pt idx="5">
                  <c:v>11.9</c:v>
                </c:pt>
                <c:pt idx="6">
                  <c:v>11.7</c:v>
                </c:pt>
                <c:pt idx="7">
                  <c:v>11.6</c:v>
                </c:pt>
                <c:pt idx="8">
                  <c:v>11.4</c:v>
                </c:pt>
              </c:numCache>
            </c:numRef>
          </c:val>
          <c:extLst>
            <c:ext xmlns:c16="http://schemas.microsoft.com/office/drawing/2014/chart" uri="{C3380CC4-5D6E-409C-BE32-E72D297353CC}">
              <c16:uniqueId val="{00000002-4B4C-47BC-800C-1D4E1AA6C565}"/>
            </c:ext>
          </c:extLst>
        </c:ser>
        <c:dLbls>
          <c:showLegendKey val="0"/>
          <c:showVal val="0"/>
          <c:showCatName val="0"/>
          <c:showSerName val="0"/>
          <c:showPercent val="0"/>
          <c:showBubbleSize val="0"/>
        </c:dLbls>
        <c:gapWidth val="219"/>
        <c:overlap val="-27"/>
        <c:axId val="325835168"/>
        <c:axId val="325835496"/>
      </c:barChart>
      <c:catAx>
        <c:axId val="325835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325835496"/>
        <c:crosses val="autoZero"/>
        <c:auto val="1"/>
        <c:lblAlgn val="ctr"/>
        <c:lblOffset val="100"/>
        <c:noMultiLvlLbl val="0"/>
      </c:catAx>
      <c:valAx>
        <c:axId val="32583549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325835168"/>
        <c:crosses val="autoZero"/>
        <c:crossBetween val="between"/>
      </c:valAx>
      <c:spPr>
        <a:solidFill>
          <a:schemeClr val="bg1">
            <a:lumMod val="95000"/>
          </a:schemeClr>
        </a:solidFill>
        <a:ln>
          <a:solidFill>
            <a:sysClr val="windowText" lastClr="000000"/>
          </a:solid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Figure</a:t>
            </a:r>
            <a:r>
              <a:rPr lang="en-US" sz="1200" b="1" baseline="0"/>
              <a:t> 8</a:t>
            </a:r>
          </a:p>
          <a:p>
            <a:pPr>
              <a:defRPr/>
            </a:pPr>
            <a:r>
              <a:rPr lang="en-US" sz="1200" b="1"/>
              <a:t>Waco</a:t>
            </a:r>
            <a:r>
              <a:rPr lang="en-US" sz="1200" b="1" baseline="0"/>
              <a:t> MSA Number of Monthly Homes Sold </a:t>
            </a:r>
          </a:p>
          <a:p>
            <a:pPr>
              <a:defRPr/>
            </a:pPr>
            <a:r>
              <a:rPr lang="en-US" sz="1200" b="1" baseline="0"/>
              <a:t>and 12-Month Moving Average</a:t>
            </a:r>
            <a:endParaRPr lang="en-US" sz="12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7839795887583015E-2"/>
          <c:y val="0.26112277631962671"/>
          <c:w val="0.90807700761542742"/>
          <c:h val="0.48867490522018081"/>
        </c:manualLayout>
      </c:layout>
      <c:lineChart>
        <c:grouping val="standard"/>
        <c:varyColors val="0"/>
        <c:ser>
          <c:idx val="0"/>
          <c:order val="0"/>
          <c:tx>
            <c:strRef>
              <c:f>Sheet1!$I$15</c:f>
              <c:strCache>
                <c:ptCount val="1"/>
                <c:pt idx="0">
                  <c:v>Sales</c:v>
                </c:pt>
              </c:strCache>
            </c:strRef>
          </c:tx>
          <c:spPr>
            <a:ln w="28575" cap="rnd">
              <a:solidFill>
                <a:schemeClr val="tx1"/>
              </a:solidFill>
              <a:round/>
            </a:ln>
            <a:effectLst/>
          </c:spPr>
          <c:marker>
            <c:symbol val="none"/>
          </c:marker>
          <c:cat>
            <c:numRef>
              <c:f>Sheet1!$H$16:$H$36</c:f>
              <c:numCache>
                <c:formatCode>mmm\-yy</c:formatCode>
                <c:ptCount val="21"/>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pt idx="15">
                  <c:v>42826</c:v>
                </c:pt>
                <c:pt idx="16">
                  <c:v>42856</c:v>
                </c:pt>
                <c:pt idx="17">
                  <c:v>42887</c:v>
                </c:pt>
                <c:pt idx="18">
                  <c:v>42917</c:v>
                </c:pt>
                <c:pt idx="19">
                  <c:v>42948</c:v>
                </c:pt>
                <c:pt idx="20">
                  <c:v>42979</c:v>
                </c:pt>
              </c:numCache>
            </c:numRef>
          </c:cat>
          <c:val>
            <c:numRef>
              <c:f>Sheet1!$I$16:$I$36</c:f>
              <c:numCache>
                <c:formatCode>General</c:formatCode>
                <c:ptCount val="21"/>
                <c:pt idx="0">
                  <c:v>69</c:v>
                </c:pt>
                <c:pt idx="1">
                  <c:v>85</c:v>
                </c:pt>
                <c:pt idx="2">
                  <c:v>120</c:v>
                </c:pt>
                <c:pt idx="3">
                  <c:v>136</c:v>
                </c:pt>
                <c:pt idx="4">
                  <c:v>131</c:v>
                </c:pt>
                <c:pt idx="5">
                  <c:v>145</c:v>
                </c:pt>
                <c:pt idx="6">
                  <c:v>127</c:v>
                </c:pt>
                <c:pt idx="7">
                  <c:v>119</c:v>
                </c:pt>
                <c:pt idx="8">
                  <c:v>125</c:v>
                </c:pt>
                <c:pt idx="9">
                  <c:v>125</c:v>
                </c:pt>
                <c:pt idx="10">
                  <c:v>107</c:v>
                </c:pt>
                <c:pt idx="11">
                  <c:v>88</c:v>
                </c:pt>
                <c:pt idx="12">
                  <c:v>62</c:v>
                </c:pt>
                <c:pt idx="13">
                  <c:v>85</c:v>
                </c:pt>
                <c:pt idx="14">
                  <c:v>107</c:v>
                </c:pt>
                <c:pt idx="15">
                  <c:v>124</c:v>
                </c:pt>
                <c:pt idx="16">
                  <c:v>143</c:v>
                </c:pt>
                <c:pt idx="17">
                  <c:v>160</c:v>
                </c:pt>
                <c:pt idx="18">
                  <c:v>125</c:v>
                </c:pt>
                <c:pt idx="19">
                  <c:v>114</c:v>
                </c:pt>
                <c:pt idx="20">
                  <c:v>111</c:v>
                </c:pt>
              </c:numCache>
            </c:numRef>
          </c:val>
          <c:smooth val="0"/>
          <c:extLst>
            <c:ext xmlns:c16="http://schemas.microsoft.com/office/drawing/2014/chart" uri="{C3380CC4-5D6E-409C-BE32-E72D297353CC}">
              <c16:uniqueId val="{00000000-226E-4160-A85B-4155CAFC8F62}"/>
            </c:ext>
          </c:extLst>
        </c:ser>
        <c:ser>
          <c:idx val="1"/>
          <c:order val="1"/>
          <c:tx>
            <c:strRef>
              <c:f>Sheet1!$J$15</c:f>
              <c:strCache>
                <c:ptCount val="1"/>
                <c:pt idx="0">
                  <c:v>12-mo. moving average</c:v>
                </c:pt>
              </c:strCache>
            </c:strRef>
          </c:tx>
          <c:spPr>
            <a:ln w="28575" cap="rnd">
              <a:solidFill>
                <a:srgbClr val="C00000"/>
              </a:solidFill>
              <a:prstDash val="sysDash"/>
              <a:round/>
            </a:ln>
            <a:effectLst/>
          </c:spPr>
          <c:marker>
            <c:symbol val="none"/>
          </c:marker>
          <c:cat>
            <c:numRef>
              <c:f>Sheet1!$H$16:$H$36</c:f>
              <c:numCache>
                <c:formatCode>mmm\-yy</c:formatCode>
                <c:ptCount val="21"/>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pt idx="15">
                  <c:v>42826</c:v>
                </c:pt>
                <c:pt idx="16">
                  <c:v>42856</c:v>
                </c:pt>
                <c:pt idx="17">
                  <c:v>42887</c:v>
                </c:pt>
                <c:pt idx="18">
                  <c:v>42917</c:v>
                </c:pt>
                <c:pt idx="19">
                  <c:v>42948</c:v>
                </c:pt>
                <c:pt idx="20">
                  <c:v>42979</c:v>
                </c:pt>
              </c:numCache>
            </c:numRef>
          </c:cat>
          <c:val>
            <c:numRef>
              <c:f>Sheet1!$J$16:$J$36</c:f>
              <c:numCache>
                <c:formatCode>0.0</c:formatCode>
                <c:ptCount val="21"/>
                <c:pt idx="0">
                  <c:v>109.91666666666667</c:v>
                </c:pt>
                <c:pt idx="1">
                  <c:v>109.83333333333333</c:v>
                </c:pt>
                <c:pt idx="2">
                  <c:v>110.5</c:v>
                </c:pt>
                <c:pt idx="3">
                  <c:v>111.58333333333333</c:v>
                </c:pt>
                <c:pt idx="4">
                  <c:v>113.16666666666667</c:v>
                </c:pt>
                <c:pt idx="5">
                  <c:v>113.41666666666667</c:v>
                </c:pt>
                <c:pt idx="6">
                  <c:v>114.5</c:v>
                </c:pt>
                <c:pt idx="7">
                  <c:v>112</c:v>
                </c:pt>
                <c:pt idx="8">
                  <c:v>110.25</c:v>
                </c:pt>
                <c:pt idx="9">
                  <c:v>113.91666666666667</c:v>
                </c:pt>
                <c:pt idx="10">
                  <c:v>114.33333333333333</c:v>
                </c:pt>
                <c:pt idx="11">
                  <c:v>116.33333333333333</c:v>
                </c:pt>
                <c:pt idx="12">
                  <c:v>114.75</c:v>
                </c:pt>
                <c:pt idx="13">
                  <c:v>114.16666666666667</c:v>
                </c:pt>
                <c:pt idx="14">
                  <c:v>114.16666666666667</c:v>
                </c:pt>
                <c:pt idx="15">
                  <c:v>113.08333333333333</c:v>
                </c:pt>
                <c:pt idx="16">
                  <c:v>112.08333333333333</c:v>
                </c:pt>
                <c:pt idx="17">
                  <c:v>113.08333333333333</c:v>
                </c:pt>
                <c:pt idx="18">
                  <c:v>114.33333333333333</c:v>
                </c:pt>
                <c:pt idx="19">
                  <c:v>114.16666666666667</c:v>
                </c:pt>
                <c:pt idx="20">
                  <c:v>113.75</c:v>
                </c:pt>
              </c:numCache>
            </c:numRef>
          </c:val>
          <c:smooth val="0"/>
          <c:extLst>
            <c:ext xmlns:c16="http://schemas.microsoft.com/office/drawing/2014/chart" uri="{C3380CC4-5D6E-409C-BE32-E72D297353CC}">
              <c16:uniqueId val="{00000001-226E-4160-A85B-4155CAFC8F62}"/>
            </c:ext>
          </c:extLst>
        </c:ser>
        <c:dLbls>
          <c:showLegendKey val="0"/>
          <c:showVal val="0"/>
          <c:showCatName val="0"/>
          <c:showSerName val="0"/>
          <c:showPercent val="0"/>
          <c:showBubbleSize val="0"/>
        </c:dLbls>
        <c:smooth val="0"/>
        <c:axId val="274257864"/>
        <c:axId val="274258192"/>
      </c:lineChart>
      <c:dateAx>
        <c:axId val="274257864"/>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4258192"/>
        <c:crosses val="autoZero"/>
        <c:auto val="1"/>
        <c:lblOffset val="100"/>
        <c:baseTimeUnit val="months"/>
      </c:dateAx>
      <c:valAx>
        <c:axId val="274258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74257864"/>
        <c:crosses val="autoZero"/>
        <c:crossBetween val="between"/>
      </c:valAx>
      <c:spPr>
        <a:solidFill>
          <a:schemeClr val="bg1">
            <a:lumMod val="95000"/>
          </a:schemeClr>
        </a:solidFill>
        <a:ln>
          <a:solidFill>
            <a:schemeClr val="tx1"/>
          </a:solidFill>
        </a:ln>
        <a:effectLst/>
      </c:spPr>
    </c:plotArea>
    <c:legend>
      <c:legendPos val="b"/>
      <c:layout>
        <c:manualLayout>
          <c:xMode val="edge"/>
          <c:yMode val="edge"/>
          <c:x val="0.24910920617681412"/>
          <c:y val="0.90603856809565475"/>
          <c:w val="0.50178141525412767"/>
          <c:h val="8.9331802274715655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spcBef>
          <a:spcPts val="600"/>
        </a:spcBef>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Figure 9</a:t>
            </a:r>
          </a:p>
          <a:p>
            <a:pPr>
              <a:defRPr/>
            </a:pPr>
            <a:r>
              <a:rPr lang="en-US" sz="1200" b="1"/>
              <a:t> Waco MSA Single and Multiunit</a:t>
            </a:r>
            <a:r>
              <a:rPr lang="en-US" sz="1200" b="1" baseline="0"/>
              <a:t> </a:t>
            </a:r>
            <a:r>
              <a:rPr lang="en-US" sz="1200" b="1"/>
              <a:t>Housing Building Permits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Sheet1!$C$1</c:f>
              <c:strCache>
                <c:ptCount val="1"/>
                <c:pt idx="0">
                  <c:v>single</c:v>
                </c:pt>
              </c:strCache>
            </c:strRef>
          </c:tx>
          <c:spPr>
            <a:solidFill>
              <a:srgbClr val="C00000"/>
            </a:solidFill>
            <a:ln>
              <a:solidFill>
                <a:schemeClr val="tx1"/>
              </a:solidFill>
            </a:ln>
            <a:effectLst/>
          </c:spPr>
          <c:invertIfNegative val="0"/>
          <c:cat>
            <c:strRef>
              <c:f>Sheet1!$B$2:$B$18</c:f>
              <c:strCache>
                <c:ptCount val="17"/>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strCache>
            </c:strRef>
          </c:cat>
          <c:val>
            <c:numRef>
              <c:f>Sheet1!$C$2:$C$18</c:f>
              <c:numCache>
                <c:formatCode>General</c:formatCode>
                <c:ptCount val="17"/>
                <c:pt idx="0">
                  <c:v>532</c:v>
                </c:pt>
                <c:pt idx="1">
                  <c:v>558</c:v>
                </c:pt>
                <c:pt idx="2">
                  <c:v>542</c:v>
                </c:pt>
                <c:pt idx="3">
                  <c:v>632</c:v>
                </c:pt>
                <c:pt idx="4">
                  <c:v>797</c:v>
                </c:pt>
                <c:pt idx="5">
                  <c:v>1015</c:v>
                </c:pt>
                <c:pt idx="6">
                  <c:v>967</c:v>
                </c:pt>
                <c:pt idx="7">
                  <c:v>826</c:v>
                </c:pt>
                <c:pt idx="8">
                  <c:v>551</c:v>
                </c:pt>
                <c:pt idx="9">
                  <c:v>428</c:v>
                </c:pt>
                <c:pt idx="10">
                  <c:v>447</c:v>
                </c:pt>
                <c:pt idx="11">
                  <c:v>443</c:v>
                </c:pt>
                <c:pt idx="12">
                  <c:v>495</c:v>
                </c:pt>
                <c:pt idx="13">
                  <c:v>622</c:v>
                </c:pt>
                <c:pt idx="14">
                  <c:v>609</c:v>
                </c:pt>
                <c:pt idx="15">
                  <c:v>592</c:v>
                </c:pt>
                <c:pt idx="16">
                  <c:v>640</c:v>
                </c:pt>
              </c:numCache>
            </c:numRef>
          </c:val>
          <c:extLst>
            <c:ext xmlns:c16="http://schemas.microsoft.com/office/drawing/2014/chart" uri="{C3380CC4-5D6E-409C-BE32-E72D297353CC}">
              <c16:uniqueId val="{00000000-78B0-47AA-B7DD-D9AA6A59A127}"/>
            </c:ext>
          </c:extLst>
        </c:ser>
        <c:ser>
          <c:idx val="1"/>
          <c:order val="1"/>
          <c:tx>
            <c:strRef>
              <c:f>Sheet1!$D$1</c:f>
              <c:strCache>
                <c:ptCount val="1"/>
                <c:pt idx="0">
                  <c:v>2-4 unit</c:v>
                </c:pt>
              </c:strCache>
            </c:strRef>
          </c:tx>
          <c:spPr>
            <a:solidFill>
              <a:srgbClr val="FFFF00"/>
            </a:solidFill>
            <a:ln>
              <a:solidFill>
                <a:schemeClr val="tx1"/>
              </a:solidFill>
            </a:ln>
            <a:effectLst/>
          </c:spPr>
          <c:invertIfNegative val="0"/>
          <c:cat>
            <c:strRef>
              <c:f>Sheet1!$B$2:$B$18</c:f>
              <c:strCache>
                <c:ptCount val="17"/>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strCache>
            </c:strRef>
          </c:cat>
          <c:val>
            <c:numRef>
              <c:f>Sheet1!$D$2:$D$18</c:f>
              <c:numCache>
                <c:formatCode>General</c:formatCode>
                <c:ptCount val="17"/>
                <c:pt idx="0">
                  <c:v>116</c:v>
                </c:pt>
                <c:pt idx="1">
                  <c:v>98</c:v>
                </c:pt>
                <c:pt idx="2">
                  <c:v>48</c:v>
                </c:pt>
                <c:pt idx="3">
                  <c:v>197</c:v>
                </c:pt>
                <c:pt idx="4">
                  <c:v>280</c:v>
                </c:pt>
                <c:pt idx="5">
                  <c:v>56</c:v>
                </c:pt>
                <c:pt idx="6">
                  <c:v>99</c:v>
                </c:pt>
                <c:pt idx="7">
                  <c:v>50</c:v>
                </c:pt>
                <c:pt idx="8">
                  <c:v>43</c:v>
                </c:pt>
                <c:pt idx="9">
                  <c:v>72</c:v>
                </c:pt>
                <c:pt idx="10">
                  <c:v>40</c:v>
                </c:pt>
                <c:pt idx="11">
                  <c:v>30</c:v>
                </c:pt>
                <c:pt idx="12">
                  <c:v>50</c:v>
                </c:pt>
                <c:pt idx="13">
                  <c:v>36</c:v>
                </c:pt>
                <c:pt idx="14">
                  <c:v>50</c:v>
                </c:pt>
                <c:pt idx="15">
                  <c:v>174</c:v>
                </c:pt>
                <c:pt idx="16">
                  <c:v>114</c:v>
                </c:pt>
              </c:numCache>
            </c:numRef>
          </c:val>
          <c:extLst>
            <c:ext xmlns:c16="http://schemas.microsoft.com/office/drawing/2014/chart" uri="{C3380CC4-5D6E-409C-BE32-E72D297353CC}">
              <c16:uniqueId val="{00000001-78B0-47AA-B7DD-D9AA6A59A127}"/>
            </c:ext>
          </c:extLst>
        </c:ser>
        <c:ser>
          <c:idx val="2"/>
          <c:order val="2"/>
          <c:tx>
            <c:strRef>
              <c:f>Sheet1!$E$1</c:f>
              <c:strCache>
                <c:ptCount val="1"/>
                <c:pt idx="0">
                  <c:v>5+ unit</c:v>
                </c:pt>
              </c:strCache>
            </c:strRef>
          </c:tx>
          <c:spPr>
            <a:solidFill>
              <a:srgbClr val="002060"/>
            </a:solidFill>
            <a:ln>
              <a:solidFill>
                <a:schemeClr val="tx1"/>
              </a:solidFill>
            </a:ln>
            <a:effectLst/>
          </c:spPr>
          <c:invertIfNegative val="0"/>
          <c:cat>
            <c:strRef>
              <c:f>Sheet1!$B$2:$B$18</c:f>
              <c:strCache>
                <c:ptCount val="17"/>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strCache>
            </c:strRef>
          </c:cat>
          <c:val>
            <c:numRef>
              <c:f>Sheet1!$E$2:$E$18</c:f>
              <c:numCache>
                <c:formatCode>General</c:formatCode>
                <c:ptCount val="17"/>
                <c:pt idx="0">
                  <c:v>62</c:v>
                </c:pt>
                <c:pt idx="1">
                  <c:v>299</c:v>
                </c:pt>
                <c:pt idx="2">
                  <c:v>219</c:v>
                </c:pt>
                <c:pt idx="3">
                  <c:v>86</c:v>
                </c:pt>
                <c:pt idx="4">
                  <c:v>473</c:v>
                </c:pt>
                <c:pt idx="5">
                  <c:v>249</c:v>
                </c:pt>
                <c:pt idx="6">
                  <c:v>0</c:v>
                </c:pt>
                <c:pt idx="7">
                  <c:v>200</c:v>
                </c:pt>
                <c:pt idx="8">
                  <c:v>264</c:v>
                </c:pt>
                <c:pt idx="9">
                  <c:v>178</c:v>
                </c:pt>
                <c:pt idx="10">
                  <c:v>120</c:v>
                </c:pt>
                <c:pt idx="11">
                  <c:v>52</c:v>
                </c:pt>
                <c:pt idx="12">
                  <c:v>139</c:v>
                </c:pt>
                <c:pt idx="13">
                  <c:v>29</c:v>
                </c:pt>
                <c:pt idx="14">
                  <c:v>814</c:v>
                </c:pt>
                <c:pt idx="15">
                  <c:v>741</c:v>
                </c:pt>
                <c:pt idx="16">
                  <c:v>1011</c:v>
                </c:pt>
              </c:numCache>
            </c:numRef>
          </c:val>
          <c:extLst>
            <c:ext xmlns:c16="http://schemas.microsoft.com/office/drawing/2014/chart" uri="{C3380CC4-5D6E-409C-BE32-E72D297353CC}">
              <c16:uniqueId val="{00000002-78B0-47AA-B7DD-D9AA6A59A127}"/>
            </c:ext>
          </c:extLst>
        </c:ser>
        <c:dLbls>
          <c:showLegendKey val="0"/>
          <c:showVal val="0"/>
          <c:showCatName val="0"/>
          <c:showSerName val="0"/>
          <c:showPercent val="0"/>
          <c:showBubbleSize val="0"/>
        </c:dLbls>
        <c:gapWidth val="219"/>
        <c:overlap val="-27"/>
        <c:axId val="309233488"/>
        <c:axId val="309229224"/>
      </c:barChart>
      <c:catAx>
        <c:axId val="309233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9229224"/>
        <c:crosses val="autoZero"/>
        <c:auto val="1"/>
        <c:lblAlgn val="ctr"/>
        <c:lblOffset val="100"/>
        <c:noMultiLvlLbl val="0"/>
      </c:catAx>
      <c:valAx>
        <c:axId val="309229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09233488"/>
        <c:crosses val="autoZero"/>
        <c:crossBetween val="between"/>
      </c:valAx>
      <c:spPr>
        <a:solidFill>
          <a:schemeClr val="bg1">
            <a:lumMod val="95000"/>
          </a:schemeClr>
        </a:solid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05C40-1D41-49A8-9830-478FD994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5278</Words>
  <Characters>30088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35296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Thomas M.</dc:creator>
  <cp:keywords/>
  <dc:description/>
  <cp:lastModifiedBy>Kelly, Thomas M</cp:lastModifiedBy>
  <cp:revision>2</cp:revision>
  <cp:lastPrinted>2017-11-27T22:12:00Z</cp:lastPrinted>
  <dcterms:created xsi:type="dcterms:W3CDTF">2017-11-27T22:33:00Z</dcterms:created>
  <dcterms:modified xsi:type="dcterms:W3CDTF">2017-11-27T22:33:00Z</dcterms:modified>
</cp:coreProperties>
</file>